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50%" type="pattern"/>
    </v:background>
  </w:background>
  <w:body>
    <w:p w:rsidR="000C7C74" w:rsidRPr="000C7C74" w:rsidRDefault="000C7C74" w:rsidP="000C7C74">
      <w:pPr>
        <w:pStyle w:val="Header"/>
        <w:jc w:val="center"/>
        <w:rPr>
          <w:b/>
          <w:sz w:val="24"/>
          <w:szCs w:val="24"/>
        </w:rPr>
      </w:pPr>
      <w:r w:rsidRPr="000C7C74">
        <w:rPr>
          <w:rFonts w:cs="Times New Roman"/>
          <w:b/>
          <w:sz w:val="24"/>
          <w:szCs w:val="24"/>
        </w:rPr>
        <w:t>KONTAKTINFORMĀCIJA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3"/>
        <w:gridCol w:w="3903"/>
        <w:gridCol w:w="3904"/>
        <w:gridCol w:w="3904"/>
      </w:tblGrid>
      <w:tr w:rsidR="00C178DB" w:rsidTr="00C178DB">
        <w:trPr>
          <w:gridAfter w:val="1"/>
          <w:wAfter w:w="3904" w:type="dxa"/>
        </w:trPr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C178DB" w:rsidRDefault="00C178DB" w:rsidP="000C7C74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51918A3" wp14:editId="3ED301AD">
                  <wp:extent cx="1526875" cy="82825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80" cy="828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C178DB" w:rsidRDefault="00C178DB" w:rsidP="00C178DB">
            <w:pPr>
              <w:rPr>
                <w:noProof/>
                <w:lang w:eastAsia="lv-LV"/>
              </w:rPr>
            </w:pPr>
            <w:r w:rsidRPr="000C7C74">
              <w:rPr>
                <w:noProof/>
                <w:lang w:eastAsia="lv-LV"/>
              </w:rPr>
              <w:t>Vārds, Uzvārds:</w:t>
            </w:r>
          </w:p>
          <w:p w:rsidR="00C178DB" w:rsidRDefault="00C178DB" w:rsidP="00C178DB">
            <w:pPr>
              <w:rPr>
                <w:noProof/>
                <w:lang w:eastAsia="lv-LV"/>
              </w:rPr>
            </w:pPr>
            <w:r w:rsidRPr="000C7C74">
              <w:rPr>
                <w:noProof/>
                <w:lang w:eastAsia="lv-LV"/>
              </w:rPr>
              <w:t>Amats:</w:t>
            </w:r>
          </w:p>
          <w:p w:rsidR="00EF33EC" w:rsidRDefault="00EF33EC" w:rsidP="00C178DB">
            <w:pPr>
              <w:rPr>
                <w:noProof/>
                <w:lang w:eastAsia="lv-LV"/>
              </w:rPr>
            </w:pPr>
          </w:p>
          <w:p w:rsidR="00C178DB" w:rsidRDefault="00C178DB" w:rsidP="00C178DB">
            <w:pPr>
              <w:rPr>
                <w:noProof/>
                <w:lang w:eastAsia="lv-LV"/>
              </w:rPr>
            </w:pPr>
            <w:r w:rsidRPr="000C7C74">
              <w:rPr>
                <w:noProof/>
                <w:lang w:eastAsia="lv-LV"/>
              </w:rPr>
              <w:t>Tālr. Nr.:</w:t>
            </w:r>
          </w:p>
          <w:p w:rsidR="00C178DB" w:rsidRDefault="00C178DB" w:rsidP="00C178DB">
            <w:pPr>
              <w:rPr>
                <w:noProof/>
                <w:lang w:eastAsia="lv-LV"/>
              </w:rPr>
            </w:pPr>
            <w:r w:rsidRPr="000C7C74">
              <w:rPr>
                <w:noProof/>
                <w:lang w:eastAsia="lv-LV"/>
              </w:rPr>
              <w:t>E-pasts:</w:t>
            </w:r>
            <w:r>
              <w:rPr>
                <w:noProof/>
                <w:lang w:eastAsia="lv-LV"/>
              </w:rPr>
              <w:t xml:space="preserve">    </w:t>
            </w:r>
          </w:p>
          <w:p w:rsidR="00C178DB" w:rsidRDefault="00C178DB" w:rsidP="00C178DB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 xml:space="preserve">www:        </w:t>
            </w: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</w:tcPr>
          <w:p w:rsidR="00C178DB" w:rsidRPr="00EF33EC" w:rsidRDefault="00EF33EC" w:rsidP="00C178DB">
            <w:pPr>
              <w:rPr>
                <w:b/>
                <w:noProof/>
                <w:lang w:eastAsia="lv-LV"/>
              </w:rPr>
            </w:pPr>
            <w:r w:rsidRPr="00EF33EC">
              <w:rPr>
                <w:b/>
                <w:noProof/>
                <w:lang w:eastAsia="lv-LV"/>
              </w:rPr>
              <w:t>Sanita Lapiņa</w:t>
            </w:r>
          </w:p>
          <w:p w:rsidR="00C178DB" w:rsidRPr="00EF33EC" w:rsidRDefault="00C178DB" w:rsidP="00C178DB">
            <w:pPr>
              <w:rPr>
                <w:b/>
                <w:noProof/>
                <w:lang w:eastAsia="lv-LV"/>
              </w:rPr>
            </w:pPr>
            <w:r w:rsidRPr="00EF33EC">
              <w:rPr>
                <w:b/>
                <w:noProof/>
                <w:lang w:eastAsia="lv-LV"/>
              </w:rPr>
              <w:t>Attīstības un investīciju nodaļa,</w:t>
            </w:r>
            <w:r w:rsidR="00EF33EC" w:rsidRPr="00EF33EC">
              <w:rPr>
                <w:b/>
                <w:noProof/>
                <w:lang w:eastAsia="lv-LV"/>
              </w:rPr>
              <w:t xml:space="preserve"> projektu vadītāja</w:t>
            </w:r>
          </w:p>
          <w:p w:rsidR="00C178DB" w:rsidRDefault="00C178DB" w:rsidP="00C178DB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+371 652</w:t>
            </w:r>
            <w:r w:rsidR="00EF33EC" w:rsidRPr="00EF33EC">
              <w:rPr>
                <w:noProof/>
                <w:lang w:eastAsia="lv-LV"/>
              </w:rPr>
              <w:t>83781</w:t>
            </w:r>
          </w:p>
          <w:p w:rsidR="00C178DB" w:rsidRDefault="00303E58" w:rsidP="00C178DB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Sanita.L</w:t>
            </w:r>
            <w:r w:rsidR="00EF33EC">
              <w:rPr>
                <w:noProof/>
                <w:lang w:eastAsia="lv-LV"/>
              </w:rPr>
              <w:t>apina</w:t>
            </w:r>
            <w:r w:rsidR="00C178DB">
              <w:rPr>
                <w:noProof/>
                <w:lang w:eastAsia="lv-LV"/>
              </w:rPr>
              <w:t>@jekabpils.lv</w:t>
            </w:r>
            <w:r w:rsidR="00EF33EC">
              <w:rPr>
                <w:noProof/>
                <w:lang w:eastAsia="lv-LV"/>
              </w:rPr>
              <w:t xml:space="preserve"> </w:t>
            </w:r>
          </w:p>
          <w:p w:rsidR="00C178DB" w:rsidRDefault="00C178DB" w:rsidP="00C178DB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t>www.jekabpils.lv</w:t>
            </w:r>
            <w:r w:rsidR="00EF33EC">
              <w:rPr>
                <w:noProof/>
                <w:lang w:eastAsia="lv-LV"/>
              </w:rPr>
              <w:t xml:space="preserve"> </w:t>
            </w:r>
          </w:p>
        </w:tc>
      </w:tr>
      <w:tr w:rsidR="000C7C74" w:rsidTr="000C7C74">
        <w:tc>
          <w:tcPr>
            <w:tcW w:w="15614" w:type="dxa"/>
            <w:gridSpan w:val="4"/>
          </w:tcPr>
          <w:p w:rsidR="000C7C74" w:rsidRDefault="000C7C74" w:rsidP="000C7C74">
            <w:pPr>
              <w:jc w:val="center"/>
              <w:rPr>
                <w:rFonts w:cs="Times New Roman"/>
              </w:rPr>
            </w:pPr>
            <w:r w:rsidRPr="000C7C74">
              <w:rPr>
                <w:b/>
                <w:noProof/>
                <w:sz w:val="28"/>
                <w:szCs w:val="28"/>
                <w:lang w:eastAsia="lv-LV"/>
              </w:rPr>
              <w:t>PIEDĀVĀTAIS INVESTĪCIJU OBJEKTS: Ķieģeļu iela 19</w:t>
            </w:r>
          </w:p>
        </w:tc>
      </w:tr>
    </w:tbl>
    <w:p w:rsidR="000C7C74" w:rsidRDefault="000C7C74" w:rsidP="0062421D">
      <w:pPr>
        <w:spacing w:after="0"/>
        <w:jc w:val="center"/>
        <w:rPr>
          <w:rFonts w:cs="Times New Roman"/>
        </w:rPr>
      </w:pPr>
    </w:p>
    <w:tbl>
      <w:tblPr>
        <w:tblStyle w:val="TableGrid"/>
        <w:tblpPr w:leftFromText="180" w:rightFromText="180" w:vertAnchor="text" w:tblpY="1"/>
        <w:tblOverlap w:val="never"/>
        <w:tblW w:w="15701" w:type="dxa"/>
        <w:tblLayout w:type="fixed"/>
        <w:tblLook w:val="04A0" w:firstRow="1" w:lastRow="0" w:firstColumn="1" w:lastColumn="0" w:noHBand="0" w:noVBand="1"/>
      </w:tblPr>
      <w:tblGrid>
        <w:gridCol w:w="1384"/>
        <w:gridCol w:w="6521"/>
        <w:gridCol w:w="283"/>
        <w:gridCol w:w="1559"/>
        <w:gridCol w:w="1276"/>
        <w:gridCol w:w="992"/>
        <w:gridCol w:w="284"/>
        <w:gridCol w:w="1370"/>
        <w:gridCol w:w="2032"/>
      </w:tblGrid>
      <w:tr w:rsidR="002C4628" w:rsidTr="002C4628">
        <w:tc>
          <w:tcPr>
            <w:tcW w:w="7905" w:type="dxa"/>
            <w:gridSpan w:val="2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PAMATINFORMĀCIJA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2C4628" w:rsidRDefault="002C4628" w:rsidP="00194B69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  <w:gridSpan w:val="3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PIEEJAMĪBA</w:t>
            </w:r>
          </w:p>
        </w:tc>
        <w:tc>
          <w:tcPr>
            <w:tcW w:w="284" w:type="dxa"/>
            <w:vMerge w:val="restart"/>
            <w:tcBorders>
              <w:top w:val="nil"/>
            </w:tcBorders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2C4628" w:rsidRPr="00303E58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03E58">
              <w:rPr>
                <w:rFonts w:cs="Times New Roman"/>
                <w:b/>
                <w:sz w:val="20"/>
                <w:szCs w:val="20"/>
              </w:rPr>
              <w:t>KOMUNĀLIE PIESLĒGUMI</w:t>
            </w:r>
          </w:p>
        </w:tc>
      </w:tr>
      <w:tr w:rsidR="002C4628" w:rsidTr="002C4628">
        <w:tc>
          <w:tcPr>
            <w:tcW w:w="1384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Kopējā iznomājamā platība</w:t>
            </w:r>
          </w:p>
        </w:tc>
        <w:tc>
          <w:tcPr>
            <w:tcW w:w="6521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9A4C0B">
              <w:rPr>
                <w:rFonts w:cs="Times New Roman"/>
                <w:sz w:val="20"/>
                <w:szCs w:val="20"/>
              </w:rPr>
              <w:t>15195 m</w:t>
            </w:r>
            <w:r w:rsidRPr="009A4C0B">
              <w:rPr>
                <w:rFonts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83" w:type="dxa"/>
            <w:vMerge/>
            <w:vAlign w:val="center"/>
          </w:tcPr>
          <w:p w:rsidR="002C4628" w:rsidRDefault="002C4628" w:rsidP="00194B69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Nosaukums/Tips</w:t>
            </w:r>
          </w:p>
        </w:tc>
        <w:tc>
          <w:tcPr>
            <w:tcW w:w="992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Attālums</w:t>
            </w:r>
          </w:p>
        </w:tc>
        <w:tc>
          <w:tcPr>
            <w:tcW w:w="284" w:type="dxa"/>
            <w:vMerge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Elektrība</w:t>
            </w:r>
          </w:p>
        </w:tc>
        <w:tc>
          <w:tcPr>
            <w:tcW w:w="2032" w:type="dxa"/>
            <w:vAlign w:val="center"/>
          </w:tcPr>
          <w:p w:rsidR="002C4628" w:rsidRPr="009A4C0B" w:rsidRDefault="002C4628" w:rsidP="009A4C0B">
            <w:pPr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Tiks uzbūvēts transformators ar iespējamo maksimālo pieslēguma jaudu 500kW</w:t>
            </w:r>
          </w:p>
        </w:tc>
      </w:tr>
      <w:tr w:rsidR="002C4628" w:rsidTr="002C4628">
        <w:tc>
          <w:tcPr>
            <w:tcW w:w="1384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Adrese</w:t>
            </w:r>
          </w:p>
        </w:tc>
        <w:tc>
          <w:tcPr>
            <w:tcW w:w="6521" w:type="dxa"/>
            <w:vAlign w:val="center"/>
          </w:tcPr>
          <w:p w:rsidR="002C4628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Ķieģeļu iela 19, Jēkabpils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Kadastra Nr.</w:t>
            </w:r>
            <w:r w:rsidRPr="00303E58">
              <w:rPr>
                <w:rFonts w:cs="Times New Roman"/>
                <w:sz w:val="20"/>
                <w:szCs w:val="20"/>
              </w:rPr>
              <w:t xml:space="preserve"> 56010010169</w:t>
            </w:r>
          </w:p>
        </w:tc>
        <w:tc>
          <w:tcPr>
            <w:tcW w:w="283" w:type="dxa"/>
            <w:vMerge/>
            <w:vAlign w:val="center"/>
          </w:tcPr>
          <w:p w:rsidR="002C4628" w:rsidRDefault="002C4628" w:rsidP="00194B69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Piebraucamais ceļš</w:t>
            </w:r>
          </w:p>
        </w:tc>
        <w:tc>
          <w:tcPr>
            <w:tcW w:w="1276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Asfalta segums</w:t>
            </w:r>
          </w:p>
        </w:tc>
        <w:tc>
          <w:tcPr>
            <w:tcW w:w="992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Gāze</w:t>
            </w:r>
          </w:p>
        </w:tc>
        <w:tc>
          <w:tcPr>
            <w:tcW w:w="2032" w:type="dxa"/>
            <w:vAlign w:val="center"/>
          </w:tcPr>
          <w:p w:rsidR="002C4628" w:rsidRPr="009A4C0B" w:rsidRDefault="002C4628" w:rsidP="009A4C0B">
            <w:pPr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 xml:space="preserve">Tiks ierīkots gāzes tīkls ar </w:t>
            </w:r>
            <w:proofErr w:type="spellStart"/>
            <w:r w:rsidRPr="009A4C0B">
              <w:rPr>
                <w:rFonts w:cs="Times New Roman"/>
                <w:sz w:val="20"/>
                <w:szCs w:val="20"/>
              </w:rPr>
              <w:t>max</w:t>
            </w:r>
            <w:proofErr w:type="spellEnd"/>
            <w:r w:rsidRPr="009A4C0B">
              <w:rPr>
                <w:rFonts w:cs="Times New Roman"/>
                <w:sz w:val="20"/>
                <w:szCs w:val="20"/>
              </w:rPr>
              <w:t xml:space="preserve"> ieejas spiedienu 6 bar (fakt.3bar) un caurplūdi 650m</w:t>
            </w:r>
            <w:r w:rsidRPr="009A4C0B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9A4C0B">
              <w:rPr>
                <w:rFonts w:cs="Times New Roman"/>
                <w:sz w:val="20"/>
                <w:szCs w:val="20"/>
              </w:rPr>
              <w:t>/h.</w:t>
            </w:r>
          </w:p>
        </w:tc>
      </w:tr>
      <w:tr w:rsidR="002C4628" w:rsidTr="002C4628">
        <w:tc>
          <w:tcPr>
            <w:tcW w:w="1384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Attālums līdz Rīgai</w:t>
            </w:r>
          </w:p>
        </w:tc>
        <w:tc>
          <w:tcPr>
            <w:tcW w:w="6521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142 km (pa autoceļiem)</w:t>
            </w:r>
          </w:p>
        </w:tc>
        <w:tc>
          <w:tcPr>
            <w:tcW w:w="283" w:type="dxa"/>
            <w:vMerge/>
            <w:vAlign w:val="center"/>
          </w:tcPr>
          <w:p w:rsidR="002C4628" w:rsidRDefault="002C4628" w:rsidP="00194B69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Galvenais ceļš</w:t>
            </w:r>
          </w:p>
        </w:tc>
        <w:tc>
          <w:tcPr>
            <w:tcW w:w="1276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Rīga-Rēzekne A12</w:t>
            </w:r>
          </w:p>
        </w:tc>
        <w:tc>
          <w:tcPr>
            <w:tcW w:w="992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0,9 km</w:t>
            </w:r>
          </w:p>
        </w:tc>
        <w:tc>
          <w:tcPr>
            <w:tcW w:w="284" w:type="dxa"/>
            <w:vMerge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Kanalizācija</w:t>
            </w:r>
          </w:p>
        </w:tc>
        <w:tc>
          <w:tcPr>
            <w:tcW w:w="2032" w:type="dxa"/>
            <w:vAlign w:val="center"/>
          </w:tcPr>
          <w:p w:rsidR="002C4628" w:rsidRPr="009A4C0B" w:rsidRDefault="002C4628" w:rsidP="009A4C0B">
            <w:pPr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Tiks ierīkots kanalizācijas tīkls un kanalizācijas sūkņi ar Q=4,0l/s, N=1,5kW</w:t>
            </w:r>
          </w:p>
        </w:tc>
      </w:tr>
      <w:tr w:rsidR="002C4628" w:rsidTr="002C4628">
        <w:tc>
          <w:tcPr>
            <w:tcW w:w="1384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Īpašnieks</w:t>
            </w:r>
          </w:p>
        </w:tc>
        <w:tc>
          <w:tcPr>
            <w:tcW w:w="6521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Jēkabpils pilsētas pašvaldība</w:t>
            </w:r>
          </w:p>
        </w:tc>
        <w:tc>
          <w:tcPr>
            <w:tcW w:w="283" w:type="dxa"/>
            <w:vMerge/>
            <w:vAlign w:val="center"/>
          </w:tcPr>
          <w:p w:rsidR="002C4628" w:rsidRDefault="002C4628" w:rsidP="00194B69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Tuvākā dzelzceļa stacija</w:t>
            </w:r>
          </w:p>
        </w:tc>
        <w:tc>
          <w:tcPr>
            <w:tcW w:w="1276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“Krustpils”</w:t>
            </w:r>
          </w:p>
        </w:tc>
        <w:tc>
          <w:tcPr>
            <w:tcW w:w="992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4,1km</w:t>
            </w:r>
          </w:p>
        </w:tc>
        <w:tc>
          <w:tcPr>
            <w:tcW w:w="284" w:type="dxa"/>
            <w:vMerge/>
            <w:tcBorders>
              <w:bottom w:val="nil"/>
            </w:tcBorders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:rsidR="002C4628" w:rsidRPr="009A4C0B" w:rsidRDefault="002C4628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Ūdens</w:t>
            </w:r>
          </w:p>
        </w:tc>
        <w:tc>
          <w:tcPr>
            <w:tcW w:w="2032" w:type="dxa"/>
            <w:vAlign w:val="center"/>
          </w:tcPr>
          <w:p w:rsidR="002C4628" w:rsidRPr="009A4C0B" w:rsidRDefault="002C4628" w:rsidP="009A4C0B">
            <w:pPr>
              <w:rPr>
                <w:rFonts w:cs="Times New Roman"/>
                <w:sz w:val="20"/>
                <w:szCs w:val="20"/>
              </w:rPr>
            </w:pPr>
            <w:r w:rsidRPr="009A4C0B">
              <w:rPr>
                <w:rFonts w:cs="Times New Roman"/>
                <w:sz w:val="20"/>
                <w:szCs w:val="20"/>
              </w:rPr>
              <w:t>Tiks ierīkotas PE caurules DN/OD 100mm ar spiediena klasi PN10</w:t>
            </w:r>
          </w:p>
        </w:tc>
      </w:tr>
      <w:tr w:rsidR="00B96F94" w:rsidTr="00B96F94">
        <w:tc>
          <w:tcPr>
            <w:tcW w:w="1384" w:type="dxa"/>
            <w:vAlign w:val="center"/>
          </w:tcPr>
          <w:p w:rsidR="00B96F94" w:rsidRPr="009A4C0B" w:rsidRDefault="00B96F94" w:rsidP="002C4628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Sasniedzamie rādītāji līdz 31.12.2023.</w:t>
            </w:r>
          </w:p>
        </w:tc>
        <w:tc>
          <w:tcPr>
            <w:tcW w:w="6521" w:type="dxa"/>
            <w:vAlign w:val="center"/>
          </w:tcPr>
          <w:p w:rsidR="00B96F94" w:rsidRDefault="00B96F94" w:rsidP="002747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</w:t>
            </w:r>
            <w:r w:rsidRPr="002747B3">
              <w:rPr>
                <w:rFonts w:cs="Times New Roman"/>
                <w:sz w:val="20"/>
                <w:szCs w:val="20"/>
              </w:rPr>
              <w:t xml:space="preserve">aunu darba vietu skaits </w:t>
            </w:r>
            <w:r>
              <w:rPr>
                <w:rFonts w:cs="Times New Roman"/>
                <w:sz w:val="20"/>
                <w:szCs w:val="20"/>
              </w:rPr>
              <w:t>– 30</w:t>
            </w:r>
          </w:p>
          <w:p w:rsidR="00B96F94" w:rsidRDefault="00B96F94" w:rsidP="002747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Nefinanšu investīciju apjoms </w:t>
            </w:r>
            <w:r w:rsidRPr="002747B3">
              <w:rPr>
                <w:rFonts w:cs="Times New Roman"/>
                <w:sz w:val="20"/>
                <w:szCs w:val="20"/>
              </w:rPr>
              <w:t>2</w:t>
            </w:r>
            <w:r w:rsidR="008156C8">
              <w:rPr>
                <w:rFonts w:cs="Times New Roman"/>
                <w:sz w:val="20"/>
                <w:szCs w:val="20"/>
              </w:rPr>
              <w:t> 437 701,00</w:t>
            </w:r>
            <w:r w:rsidRPr="002747B3">
              <w:rPr>
                <w:rFonts w:cs="Times New Roman"/>
                <w:sz w:val="20"/>
                <w:szCs w:val="20"/>
              </w:rPr>
              <w:t xml:space="preserve"> EUR</w:t>
            </w:r>
            <w:r w:rsidR="00873BBC">
              <w:rPr>
                <w:rFonts w:cs="Times New Roman"/>
                <w:sz w:val="20"/>
                <w:szCs w:val="20"/>
              </w:rPr>
              <w:t>:</w:t>
            </w:r>
          </w:p>
          <w:p w:rsidR="00873BBC" w:rsidRDefault="00873BBC" w:rsidP="002747B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1.kārta</w:t>
            </w:r>
            <w:r w:rsidR="00B60726">
              <w:rPr>
                <w:rFonts w:cs="Times New Roman"/>
                <w:sz w:val="20"/>
                <w:szCs w:val="20"/>
              </w:rPr>
              <w:t xml:space="preserve"> (2019.-2020.g.)</w:t>
            </w:r>
            <w:r>
              <w:rPr>
                <w:rFonts w:cs="Times New Roman"/>
                <w:sz w:val="20"/>
                <w:szCs w:val="20"/>
              </w:rPr>
              <w:t xml:space="preserve">- Būvniecības laikā </w:t>
            </w:r>
            <w:r w:rsidR="00B60726">
              <w:rPr>
                <w:rFonts w:cs="Times New Roman"/>
                <w:sz w:val="20"/>
                <w:szCs w:val="20"/>
              </w:rPr>
              <w:t xml:space="preserve">jāveic iekārtu uzstādīšana, piem., transportieri </w:t>
            </w:r>
            <w:r w:rsidR="00B60726" w:rsidRPr="00B60726">
              <w:rPr>
                <w:rFonts w:cs="Times New Roman"/>
                <w:sz w:val="20"/>
                <w:szCs w:val="20"/>
              </w:rPr>
              <w:t>(aptuveni pēc būvprojekta lokālā tāmes 400 000 euro)</w:t>
            </w:r>
            <w:r w:rsidR="00B60726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="00B60726">
              <w:rPr>
                <w:rFonts w:cs="Times New Roman"/>
                <w:sz w:val="20"/>
                <w:szCs w:val="20"/>
              </w:rPr>
              <w:t>autosvari</w:t>
            </w:r>
            <w:proofErr w:type="spellEnd"/>
            <w:r w:rsidR="00B60726">
              <w:rPr>
                <w:rFonts w:cs="Times New Roman"/>
                <w:sz w:val="20"/>
                <w:szCs w:val="20"/>
              </w:rPr>
              <w:t xml:space="preserve">, kalte, ražošanas līnija </w:t>
            </w:r>
            <w:r>
              <w:rPr>
                <w:rFonts w:cs="Times New Roman"/>
                <w:sz w:val="20"/>
                <w:szCs w:val="20"/>
              </w:rPr>
              <w:t>un citas iekārtas</w:t>
            </w:r>
            <w:r w:rsidR="00B60726">
              <w:rPr>
                <w:rFonts w:cs="Times New Roman"/>
                <w:sz w:val="20"/>
                <w:szCs w:val="20"/>
              </w:rPr>
              <w:t xml:space="preserve"> atbilstoši plānotajam nodarbošanās veidam.</w:t>
            </w:r>
          </w:p>
          <w:p w:rsidR="00873BBC" w:rsidRPr="009A4C0B" w:rsidRDefault="00873BBC" w:rsidP="00B6072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2.kārta</w:t>
            </w:r>
            <w:r w:rsidR="00B60726">
              <w:rPr>
                <w:rFonts w:cs="Times New Roman"/>
                <w:sz w:val="20"/>
                <w:szCs w:val="20"/>
              </w:rPr>
              <w:t xml:space="preserve"> (2020.-31.12.2023.) - </w:t>
            </w:r>
            <w:r>
              <w:rPr>
                <w:rFonts w:cs="Times New Roman"/>
                <w:sz w:val="20"/>
                <w:szCs w:val="20"/>
              </w:rPr>
              <w:t>Uzņēmējdarbības attīstībai</w:t>
            </w:r>
            <w:r w:rsidR="00B60726">
              <w:rPr>
                <w:rFonts w:cs="Times New Roman"/>
                <w:sz w:val="20"/>
                <w:szCs w:val="20"/>
              </w:rPr>
              <w:t xml:space="preserve"> nepieciešamo iekārtu/transporta iegāde vai </w:t>
            </w:r>
            <w:r w:rsidRPr="00873BBC">
              <w:rPr>
                <w:rFonts w:cs="Times New Roman"/>
                <w:sz w:val="20"/>
                <w:szCs w:val="20"/>
              </w:rPr>
              <w:t>dzelzceļa pievad</w:t>
            </w:r>
            <w:r w:rsidR="00B60726">
              <w:rPr>
                <w:rFonts w:cs="Times New Roman"/>
                <w:sz w:val="20"/>
                <w:szCs w:val="20"/>
              </w:rPr>
              <w:t>a izbūve.</w:t>
            </w:r>
          </w:p>
        </w:tc>
        <w:tc>
          <w:tcPr>
            <w:tcW w:w="283" w:type="dxa"/>
            <w:vMerge/>
            <w:vAlign w:val="center"/>
          </w:tcPr>
          <w:p w:rsidR="00B96F94" w:rsidRDefault="00B96F94" w:rsidP="00194B69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  <w:gridSpan w:val="3"/>
            <w:vMerge w:val="restart"/>
            <w:tcBorders>
              <w:right w:val="nil"/>
            </w:tcBorders>
            <w:vAlign w:val="center"/>
          </w:tcPr>
          <w:p w:rsidR="00B96F94" w:rsidRPr="009A4C0B" w:rsidRDefault="00B96F94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96F94" w:rsidRPr="009A4C0B" w:rsidRDefault="00B96F94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032" w:type="dxa"/>
            <w:vMerge w:val="restart"/>
            <w:tcBorders>
              <w:left w:val="nil"/>
              <w:right w:val="nil"/>
            </w:tcBorders>
            <w:vAlign w:val="center"/>
          </w:tcPr>
          <w:p w:rsidR="00B96F94" w:rsidRPr="009A4C0B" w:rsidRDefault="00B96F94" w:rsidP="009A4C0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96F94" w:rsidTr="00B96F94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B96F94" w:rsidRDefault="00B96F94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Nomas iespējas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B96F94" w:rsidRPr="009A6756" w:rsidRDefault="00B96F94" w:rsidP="002747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6756">
              <w:rPr>
                <w:rFonts w:cs="Times New Roman"/>
                <w:sz w:val="20"/>
                <w:szCs w:val="20"/>
              </w:rPr>
              <w:t>Izsole būs atklāta un mutiska, ar augšupejošu soli. Nomas objekta sākotnējā nosacītā nomas maksa ir 3 540,00 EUR</w:t>
            </w:r>
            <w:r w:rsidR="00B27711">
              <w:rPr>
                <w:rFonts w:cs="Times New Roman"/>
                <w:sz w:val="20"/>
                <w:szCs w:val="20"/>
              </w:rPr>
              <w:t>/</w:t>
            </w:r>
            <w:proofErr w:type="spellStart"/>
            <w:r w:rsidR="00B27711">
              <w:rPr>
                <w:rFonts w:cs="Times New Roman"/>
                <w:sz w:val="20"/>
                <w:szCs w:val="20"/>
              </w:rPr>
              <w:t>mēn</w:t>
            </w:r>
            <w:proofErr w:type="spellEnd"/>
            <w:r w:rsidRPr="009A6756">
              <w:rPr>
                <w:rFonts w:cs="Times New Roman"/>
                <w:sz w:val="20"/>
                <w:szCs w:val="20"/>
              </w:rPr>
              <w:t xml:space="preserve">. </w:t>
            </w:r>
          </w:p>
          <w:p w:rsidR="00B96F94" w:rsidRPr="009A6756" w:rsidRDefault="00B96F94" w:rsidP="002747B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6756">
              <w:rPr>
                <w:rFonts w:cs="Times New Roman"/>
                <w:sz w:val="20"/>
                <w:szCs w:val="20"/>
              </w:rPr>
              <w:t xml:space="preserve">Nomas līgums tiks slēgts uz 30 gadiem, ar iespēju iegādāties pirms nomas līguma termiņa beigām </w:t>
            </w:r>
            <w:r w:rsidR="00B27711">
              <w:rPr>
                <w:rFonts w:cs="Times New Roman"/>
                <w:sz w:val="20"/>
                <w:szCs w:val="20"/>
              </w:rPr>
              <w:t>izsoles veidā.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vAlign w:val="center"/>
          </w:tcPr>
          <w:p w:rsidR="00B96F94" w:rsidRPr="009A6756" w:rsidRDefault="00B96F94" w:rsidP="00194B69">
            <w:pPr>
              <w:jc w:val="center"/>
              <w:rPr>
                <w:rFonts w:cs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right w:val="nil"/>
            </w:tcBorders>
            <w:vAlign w:val="center"/>
          </w:tcPr>
          <w:p w:rsidR="00B96F94" w:rsidRPr="009A6756" w:rsidRDefault="00B96F94" w:rsidP="00194B6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F94" w:rsidRPr="009A6756" w:rsidRDefault="00B96F94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left w:val="nil"/>
              <w:right w:val="nil"/>
            </w:tcBorders>
            <w:vAlign w:val="center"/>
          </w:tcPr>
          <w:p w:rsidR="00B96F94" w:rsidRPr="009A6756" w:rsidRDefault="00B96F94" w:rsidP="009A4C0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96F94" w:rsidTr="00277836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B96F94" w:rsidRDefault="00B96F94" w:rsidP="00194B6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A4C0B">
              <w:rPr>
                <w:rFonts w:cs="Times New Roman"/>
                <w:b/>
                <w:sz w:val="20"/>
                <w:szCs w:val="20"/>
              </w:rPr>
              <w:t>Informācija par objektu</w:t>
            </w:r>
          </w:p>
        </w:tc>
        <w:tc>
          <w:tcPr>
            <w:tcW w:w="14317" w:type="dxa"/>
            <w:gridSpan w:val="8"/>
            <w:tcBorders>
              <w:bottom w:val="single" w:sz="4" w:space="0" w:color="auto"/>
            </w:tcBorders>
            <w:vAlign w:val="center"/>
          </w:tcPr>
          <w:p w:rsidR="00DC7C16" w:rsidRPr="009A6756" w:rsidRDefault="00B27711" w:rsidP="00B96F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Jēkabpils pilsētas pašvaldība veic ē</w:t>
            </w:r>
            <w:r w:rsidR="00B96F94" w:rsidRPr="009A6756">
              <w:rPr>
                <w:sz w:val="20"/>
                <w:szCs w:val="20"/>
              </w:rPr>
              <w:t xml:space="preserve">ku un </w:t>
            </w:r>
            <w:r>
              <w:rPr>
                <w:sz w:val="20"/>
                <w:szCs w:val="20"/>
              </w:rPr>
              <w:t>i</w:t>
            </w:r>
            <w:r w:rsidR="00B96F94" w:rsidRPr="009A6756">
              <w:rPr>
                <w:sz w:val="20"/>
                <w:szCs w:val="20"/>
              </w:rPr>
              <w:t>nženierbūvju būvdarbus</w:t>
            </w:r>
            <w:r>
              <w:rPr>
                <w:sz w:val="20"/>
                <w:szCs w:val="20"/>
              </w:rPr>
              <w:t>. Būvdarbu veicējs tiks noskaidrots</w:t>
            </w:r>
            <w:r w:rsidR="00B96F94" w:rsidRPr="009A6756">
              <w:rPr>
                <w:sz w:val="20"/>
                <w:szCs w:val="20"/>
              </w:rPr>
              <w:t xml:space="preserve"> iepirkuma rezultātā </w:t>
            </w:r>
            <w:r w:rsidR="00DC7C16" w:rsidRPr="009A6756">
              <w:rPr>
                <w:sz w:val="20"/>
                <w:szCs w:val="20"/>
              </w:rPr>
              <w:t xml:space="preserve">un </w:t>
            </w:r>
            <w:r>
              <w:rPr>
                <w:sz w:val="20"/>
                <w:szCs w:val="20"/>
              </w:rPr>
              <w:t xml:space="preserve">būvdarbi tiks veikti </w:t>
            </w:r>
            <w:r w:rsidR="00DC7C16" w:rsidRPr="009A6756">
              <w:rPr>
                <w:sz w:val="20"/>
                <w:szCs w:val="20"/>
              </w:rPr>
              <w:t>vienā būvniecības kārtā</w:t>
            </w:r>
            <w:r w:rsidR="00B96F94" w:rsidRPr="009A6756">
              <w:rPr>
                <w:sz w:val="20"/>
                <w:szCs w:val="20"/>
              </w:rPr>
              <w:t>. Nomas izsole notiks paralēli projekta būvdarbu iepirkumu konkursam, lai pēc nomas līguma noslēgšanas nomniekam būtu iespēja pa</w:t>
            </w:r>
            <w:r w:rsidR="00DC7C16" w:rsidRPr="009A6756">
              <w:rPr>
                <w:sz w:val="20"/>
                <w:szCs w:val="20"/>
              </w:rPr>
              <w:t xml:space="preserve">sūtīt </w:t>
            </w:r>
            <w:r>
              <w:rPr>
                <w:sz w:val="20"/>
                <w:szCs w:val="20"/>
              </w:rPr>
              <w:t xml:space="preserve">un uzstādīt </w:t>
            </w:r>
            <w:r w:rsidR="00DC7C16" w:rsidRPr="009A6756">
              <w:rPr>
                <w:sz w:val="20"/>
                <w:szCs w:val="20"/>
              </w:rPr>
              <w:t>nepieciešamās iekārtas</w:t>
            </w:r>
            <w:r w:rsidR="00B96F94" w:rsidRPr="009A6756">
              <w:rPr>
                <w:sz w:val="20"/>
                <w:szCs w:val="20"/>
              </w:rPr>
              <w:t>.</w:t>
            </w:r>
            <w:r w:rsidR="00C22F6A" w:rsidRPr="009A6756">
              <w:rPr>
                <w:sz w:val="20"/>
                <w:szCs w:val="20"/>
              </w:rPr>
              <w:t xml:space="preserve"> Iekārtu uzstādīšana būtu iespējama būvniecības procesā. </w:t>
            </w:r>
            <w:r w:rsidR="00DC7C16" w:rsidRPr="009A6756">
              <w:rPr>
                <w:sz w:val="20"/>
                <w:szCs w:val="20"/>
              </w:rPr>
              <w:t xml:space="preserve">Noslēdzoties būvdarbiem, </w:t>
            </w:r>
            <w:r w:rsidR="009A6756" w:rsidRPr="009A6756">
              <w:rPr>
                <w:sz w:val="20"/>
                <w:szCs w:val="20"/>
              </w:rPr>
              <w:t>Jēkabpils pils</w:t>
            </w:r>
            <w:r>
              <w:rPr>
                <w:sz w:val="20"/>
                <w:szCs w:val="20"/>
              </w:rPr>
              <w:t xml:space="preserve">ētas pašvaldībai </w:t>
            </w:r>
            <w:r w:rsidR="009A6756" w:rsidRPr="009A6756">
              <w:rPr>
                <w:sz w:val="20"/>
                <w:szCs w:val="20"/>
              </w:rPr>
              <w:t>un nomniekam</w:t>
            </w:r>
            <w:r w:rsidR="00867C49" w:rsidRPr="009A6756">
              <w:rPr>
                <w:sz w:val="20"/>
                <w:szCs w:val="20"/>
              </w:rPr>
              <w:t xml:space="preserve"> </w:t>
            </w:r>
            <w:r w:rsidR="00DC7C16" w:rsidRPr="009A6756">
              <w:rPr>
                <w:sz w:val="20"/>
                <w:szCs w:val="20"/>
              </w:rPr>
              <w:t>parakstot pieņemšanas-nodošanas aktu</w:t>
            </w:r>
            <w:r w:rsidR="009A6756" w:rsidRPr="009A6756">
              <w:rPr>
                <w:sz w:val="20"/>
                <w:szCs w:val="20"/>
              </w:rPr>
              <w:t>-</w:t>
            </w:r>
            <w:r w:rsidR="00DC7C16" w:rsidRPr="009A6756">
              <w:rPr>
                <w:sz w:val="20"/>
                <w:szCs w:val="20"/>
              </w:rPr>
              <w:t xml:space="preserve"> jau </w:t>
            </w:r>
            <w:r w:rsidR="00DC7C16" w:rsidRPr="009A6756">
              <w:rPr>
                <w:sz w:val="20"/>
                <w:szCs w:val="20"/>
              </w:rPr>
              <w:lastRenderedPageBreak/>
              <w:t xml:space="preserve">būs iespēja uzsākt ražošanas procesu. </w:t>
            </w:r>
          </w:p>
          <w:p w:rsidR="00867C49" w:rsidRPr="009A6756" w:rsidRDefault="00B27711" w:rsidP="00B96F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Jēkabpils pilsētas pašvaldība p</w:t>
            </w:r>
            <w:r w:rsidR="00DC7C16" w:rsidRPr="009A6756">
              <w:rPr>
                <w:sz w:val="20"/>
                <w:szCs w:val="20"/>
              </w:rPr>
              <w:t>rojekta ietvaros p</w:t>
            </w:r>
            <w:r>
              <w:rPr>
                <w:sz w:val="20"/>
                <w:szCs w:val="20"/>
              </w:rPr>
              <w:t xml:space="preserve">lāno </w:t>
            </w:r>
            <w:r w:rsidR="00DC7C16" w:rsidRPr="009A6756">
              <w:rPr>
                <w:sz w:val="20"/>
                <w:szCs w:val="20"/>
              </w:rPr>
              <w:t xml:space="preserve">izbūvēt ielu, kas </w:t>
            </w:r>
            <w:r w:rsidR="00867C49" w:rsidRPr="009A6756">
              <w:rPr>
                <w:sz w:val="20"/>
                <w:szCs w:val="20"/>
              </w:rPr>
              <w:t>būs posmā no Ķieģeļu ielas atzara līdz iznomātājai teritorijai. Tiks izbūvētas jauns komunikāciju ūdens un kanalizācijas tīkls</w:t>
            </w:r>
            <w:r w:rsidR="00DA6633" w:rsidRPr="009A6756">
              <w:rPr>
                <w:sz w:val="20"/>
                <w:szCs w:val="20"/>
              </w:rPr>
              <w:t>, gāzes tīkls</w:t>
            </w:r>
            <w:r w:rsidR="00867C49" w:rsidRPr="009A6756">
              <w:rPr>
                <w:sz w:val="20"/>
                <w:szCs w:val="20"/>
              </w:rPr>
              <w:t xml:space="preserve">, ar kuras palīdzību tiks nodrošināta </w:t>
            </w:r>
            <w:r w:rsidR="00DA6633" w:rsidRPr="009A6756">
              <w:rPr>
                <w:sz w:val="20"/>
                <w:szCs w:val="20"/>
              </w:rPr>
              <w:t xml:space="preserve">ēku </w:t>
            </w:r>
            <w:r w:rsidR="00867C49" w:rsidRPr="009A6756">
              <w:rPr>
                <w:sz w:val="20"/>
                <w:szCs w:val="20"/>
              </w:rPr>
              <w:t>apkure. Lai būtu iespējams nodrošināt nepieciešamo ele</w:t>
            </w:r>
            <w:r w:rsidR="00DA6633" w:rsidRPr="009A6756">
              <w:rPr>
                <w:sz w:val="20"/>
                <w:szCs w:val="20"/>
              </w:rPr>
              <w:t>ktrības jaudu uzņēmuma darbība</w:t>
            </w:r>
            <w:r w:rsidR="00867C49" w:rsidRPr="009A6756">
              <w:rPr>
                <w:sz w:val="20"/>
                <w:szCs w:val="20"/>
              </w:rPr>
              <w:t>i,</w:t>
            </w:r>
            <w:r w:rsidR="00DA6633" w:rsidRPr="009A6756">
              <w:rPr>
                <w:sz w:val="20"/>
                <w:szCs w:val="20"/>
              </w:rPr>
              <w:t xml:space="preserve"> ielas un teritorijas</w:t>
            </w:r>
            <w:r w:rsidR="00867C49" w:rsidRPr="009A6756">
              <w:rPr>
                <w:sz w:val="20"/>
                <w:szCs w:val="20"/>
              </w:rPr>
              <w:t xml:space="preserve"> apgaismojumam un ūdens sūkņa darbīb</w:t>
            </w:r>
            <w:r w:rsidR="00DA6633" w:rsidRPr="009A6756">
              <w:rPr>
                <w:sz w:val="20"/>
                <w:szCs w:val="20"/>
              </w:rPr>
              <w:t>ai</w:t>
            </w:r>
            <w:r w:rsidR="00867C49" w:rsidRPr="009A6756">
              <w:rPr>
                <w:sz w:val="20"/>
                <w:szCs w:val="20"/>
              </w:rPr>
              <w:t xml:space="preserve"> tiks izbūvēts elektrības transformators ar atsevišķām elektrības </w:t>
            </w:r>
            <w:proofErr w:type="spellStart"/>
            <w:r w:rsidR="00867C49" w:rsidRPr="009A6756">
              <w:rPr>
                <w:sz w:val="20"/>
                <w:szCs w:val="20"/>
              </w:rPr>
              <w:t>sadalnēm</w:t>
            </w:r>
            <w:proofErr w:type="spellEnd"/>
            <w:r w:rsidR="00867C49" w:rsidRPr="009A6756">
              <w:rPr>
                <w:sz w:val="20"/>
                <w:szCs w:val="20"/>
              </w:rPr>
              <w:t xml:space="preserve"> un </w:t>
            </w:r>
            <w:r w:rsidR="00DA6633" w:rsidRPr="009A6756">
              <w:rPr>
                <w:sz w:val="20"/>
                <w:szCs w:val="20"/>
              </w:rPr>
              <w:t xml:space="preserve">patērētās elektrības </w:t>
            </w:r>
            <w:r w:rsidR="00867C49" w:rsidRPr="009A6756">
              <w:rPr>
                <w:sz w:val="20"/>
                <w:szCs w:val="20"/>
              </w:rPr>
              <w:t>uzskaitēm.</w:t>
            </w:r>
          </w:p>
          <w:p w:rsidR="00B96F94" w:rsidRPr="009A6756" w:rsidRDefault="00954784" w:rsidP="00B96F94">
            <w:pPr>
              <w:jc w:val="both"/>
              <w:rPr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>Iznomātajā teritorijā būs asfaltēts laukums un g</w:t>
            </w:r>
            <w:r w:rsidR="00B96F94" w:rsidRPr="009A6756">
              <w:rPr>
                <w:sz w:val="20"/>
                <w:szCs w:val="20"/>
              </w:rPr>
              <w:t>raudu pieņemšanas, tīrīšanas, kaltēšanas un uzglabāšanas komplekss</w:t>
            </w:r>
            <w:r w:rsidRPr="009A6756">
              <w:rPr>
                <w:sz w:val="20"/>
                <w:szCs w:val="20"/>
              </w:rPr>
              <w:t>, kurš</w:t>
            </w:r>
            <w:r w:rsidR="00B96F94" w:rsidRPr="009A6756">
              <w:rPr>
                <w:sz w:val="20"/>
                <w:szCs w:val="20"/>
              </w:rPr>
              <w:t xml:space="preserve"> sastāv</w:t>
            </w:r>
            <w:r w:rsidRPr="009A6756">
              <w:rPr>
                <w:sz w:val="20"/>
                <w:szCs w:val="20"/>
              </w:rPr>
              <w:t>ēs</w:t>
            </w:r>
            <w:r w:rsidR="00B96F94" w:rsidRPr="009A6756">
              <w:rPr>
                <w:sz w:val="20"/>
                <w:szCs w:val="20"/>
              </w:rPr>
              <w:t xml:space="preserve"> no dažādām funkcionāli atšķirīgām ēkām, kas katra atsevišķi pildot atšķirīgas funkcijas, nodrošina graudu kompleksa darbību. Graudu žāvēšanai paredzēta piemērota</w:t>
            </w:r>
            <w:r w:rsidR="00B27711">
              <w:rPr>
                <w:sz w:val="20"/>
                <w:szCs w:val="20"/>
              </w:rPr>
              <w:t xml:space="preserve"> vieta</w:t>
            </w:r>
            <w:r w:rsidR="00B96F94" w:rsidRPr="009A6756">
              <w:rPr>
                <w:sz w:val="20"/>
                <w:szCs w:val="20"/>
              </w:rPr>
              <w:t xml:space="preserve"> graudu kalte</w:t>
            </w:r>
            <w:r w:rsidR="00B27711">
              <w:rPr>
                <w:sz w:val="20"/>
                <w:szCs w:val="20"/>
              </w:rPr>
              <w:t>i</w:t>
            </w:r>
            <w:r w:rsidR="00B96F94" w:rsidRPr="009A6756">
              <w:rPr>
                <w:sz w:val="20"/>
                <w:szCs w:val="20"/>
              </w:rPr>
              <w:t xml:space="preserve"> (ko iegādājas uzņēmējs) ar kaltēšanas ražību ~37t/h, ēkas daudzstāvu daļā iespējams izvietot graudaugu pārstrādes līniju ar aptuveno ražību 500-700 kg/h. </w:t>
            </w:r>
          </w:p>
          <w:p w:rsidR="00B96F94" w:rsidRPr="009A6756" w:rsidRDefault="00B96F94" w:rsidP="00B96F94">
            <w:pPr>
              <w:jc w:val="both"/>
              <w:rPr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 xml:space="preserve">Komplekss sastāv no: </w:t>
            </w:r>
          </w:p>
          <w:p w:rsidR="00B96F94" w:rsidRPr="009A6756" w:rsidRDefault="00B96F94" w:rsidP="00B96F94">
            <w:pPr>
              <w:jc w:val="both"/>
              <w:rPr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 xml:space="preserve">1) izejvielu pieņemšanas ēka= </w:t>
            </w:r>
            <w:r w:rsidR="008156C8">
              <w:rPr>
                <w:sz w:val="20"/>
                <w:szCs w:val="20"/>
              </w:rPr>
              <w:t>225</w:t>
            </w:r>
            <w:r w:rsidRPr="009A6756">
              <w:rPr>
                <w:sz w:val="20"/>
                <w:szCs w:val="20"/>
              </w:rPr>
              <w:t xml:space="preserve"> m</w:t>
            </w:r>
            <w:r w:rsidRPr="009A6756">
              <w:rPr>
                <w:sz w:val="20"/>
                <w:szCs w:val="20"/>
                <w:vertAlign w:val="superscript"/>
              </w:rPr>
              <w:t>2</w:t>
            </w:r>
            <w:r w:rsidRPr="009A6756">
              <w:rPr>
                <w:sz w:val="20"/>
                <w:szCs w:val="20"/>
              </w:rPr>
              <w:t xml:space="preserve">; </w:t>
            </w:r>
          </w:p>
          <w:p w:rsidR="00B96F94" w:rsidRPr="009A6756" w:rsidRDefault="00B96F94" w:rsidP="00B96F94">
            <w:pPr>
              <w:jc w:val="both"/>
              <w:rPr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 xml:space="preserve">2)6 izejvielu īslaicīgas uzglabāšanas tvertnes = </w:t>
            </w:r>
            <w:r w:rsidR="008156C8">
              <w:rPr>
                <w:sz w:val="20"/>
                <w:szCs w:val="20"/>
              </w:rPr>
              <w:t>193</w:t>
            </w:r>
            <w:r w:rsidRPr="009A6756">
              <w:rPr>
                <w:sz w:val="20"/>
                <w:szCs w:val="20"/>
              </w:rPr>
              <w:t xml:space="preserve"> m</w:t>
            </w:r>
            <w:r w:rsidRPr="009A6756">
              <w:rPr>
                <w:sz w:val="20"/>
                <w:szCs w:val="20"/>
                <w:vertAlign w:val="superscript"/>
              </w:rPr>
              <w:t>2</w:t>
            </w:r>
          </w:p>
          <w:p w:rsidR="00B96F94" w:rsidRPr="009A6756" w:rsidRDefault="00B96F94" w:rsidP="00B96F94">
            <w:pPr>
              <w:jc w:val="both"/>
              <w:rPr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>3) izejvielu priekšapstrādes iecirknis= 68,6 m</w:t>
            </w:r>
            <w:r w:rsidRPr="009A6756">
              <w:rPr>
                <w:sz w:val="20"/>
                <w:szCs w:val="20"/>
                <w:vertAlign w:val="superscript"/>
              </w:rPr>
              <w:t>2</w:t>
            </w:r>
            <w:r w:rsidRPr="009A6756">
              <w:rPr>
                <w:sz w:val="20"/>
                <w:szCs w:val="20"/>
              </w:rPr>
              <w:t xml:space="preserve">; </w:t>
            </w:r>
          </w:p>
          <w:p w:rsidR="00B96F94" w:rsidRPr="009A6756" w:rsidRDefault="00B96F94" w:rsidP="00B96F94">
            <w:pPr>
              <w:jc w:val="both"/>
              <w:rPr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>4)5 gatavo izejvielu uzglabāšanas tvertnes = 525 m</w:t>
            </w:r>
            <w:r w:rsidRPr="009A6756">
              <w:rPr>
                <w:sz w:val="20"/>
                <w:szCs w:val="20"/>
                <w:vertAlign w:val="superscript"/>
              </w:rPr>
              <w:t>2</w:t>
            </w:r>
          </w:p>
          <w:p w:rsidR="00B96F94" w:rsidRPr="009A6756" w:rsidRDefault="00B96F94" w:rsidP="00B96F94">
            <w:pPr>
              <w:jc w:val="both"/>
              <w:rPr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>5) izejvielu pārstrādes iecirknis ar noliktavu un ad</w:t>
            </w:r>
            <w:r w:rsidR="008156C8">
              <w:rPr>
                <w:sz w:val="20"/>
                <w:szCs w:val="20"/>
              </w:rPr>
              <w:t xml:space="preserve">ministratīvo telpu korpusu= 1064 </w:t>
            </w:r>
            <w:bookmarkStart w:id="0" w:name="_GoBack"/>
            <w:bookmarkEnd w:id="0"/>
            <w:r w:rsidRPr="009A6756">
              <w:rPr>
                <w:sz w:val="20"/>
                <w:szCs w:val="20"/>
              </w:rPr>
              <w:t>m</w:t>
            </w:r>
            <w:r w:rsidRPr="009A6756">
              <w:rPr>
                <w:sz w:val="20"/>
                <w:szCs w:val="20"/>
                <w:vertAlign w:val="superscript"/>
              </w:rPr>
              <w:t>2</w:t>
            </w:r>
            <w:r w:rsidRPr="009A6756">
              <w:rPr>
                <w:sz w:val="20"/>
                <w:szCs w:val="20"/>
              </w:rPr>
              <w:t xml:space="preserve">; </w:t>
            </w:r>
          </w:p>
          <w:p w:rsidR="00B96F94" w:rsidRPr="009A6756" w:rsidRDefault="00B96F94" w:rsidP="00B96F94">
            <w:pPr>
              <w:rPr>
                <w:rFonts w:cs="Times New Roman"/>
                <w:sz w:val="20"/>
                <w:szCs w:val="20"/>
              </w:rPr>
            </w:pPr>
            <w:r w:rsidRPr="009A6756">
              <w:rPr>
                <w:sz w:val="20"/>
                <w:szCs w:val="20"/>
              </w:rPr>
              <w:t>6) palīgēka auto svariem = 12,70 m</w:t>
            </w:r>
            <w:r w:rsidRPr="009A6756">
              <w:rPr>
                <w:sz w:val="20"/>
                <w:szCs w:val="20"/>
                <w:vertAlign w:val="superscript"/>
              </w:rPr>
              <w:t>2</w:t>
            </w:r>
            <w:r w:rsidRPr="009A6756">
              <w:rPr>
                <w:sz w:val="20"/>
                <w:szCs w:val="20"/>
              </w:rPr>
              <w:t>.</w:t>
            </w:r>
          </w:p>
        </w:tc>
      </w:tr>
    </w:tbl>
    <w:p w:rsidR="00EF33EC" w:rsidRDefault="00B27711" w:rsidP="000C7C74">
      <w:pPr>
        <w:jc w:val="center"/>
        <w:rPr>
          <w:rFonts w:cs="Times New Roman"/>
        </w:rPr>
      </w:pPr>
      <w:r>
        <w:rPr>
          <w:rFonts w:cs="Times New Roman"/>
          <w:noProof/>
          <w:lang w:eastAsia="lv-LV"/>
        </w:rPr>
        <w:lastRenderedPageBreak/>
        <w:drawing>
          <wp:inline distT="0" distB="0" distL="0" distR="0" wp14:anchorId="2FD18063" wp14:editId="13371EC3">
            <wp:extent cx="2796363" cy="4277709"/>
            <wp:effectExtent l="0" t="0" r="444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ietojum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460" cy="4273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7711">
        <w:rPr>
          <w:rFonts w:cs="Times New Roman"/>
          <w:noProof/>
          <w:lang w:eastAsia="lv-LV"/>
        </w:rPr>
        <w:t xml:space="preserve"> </w:t>
      </w:r>
      <w:r>
        <w:rPr>
          <w:rFonts w:cs="Times New Roman"/>
          <w:noProof/>
          <w:lang w:eastAsia="lv-LV"/>
        </w:rPr>
        <w:drawing>
          <wp:inline distT="0" distB="0" distL="0" distR="0" wp14:anchorId="4D89F3E2" wp14:editId="405E035D">
            <wp:extent cx="3476846" cy="4255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adsa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5197" cy="426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4D1" w:rsidRPr="000C7C74" w:rsidRDefault="006664D1" w:rsidP="000C7C74">
      <w:pPr>
        <w:jc w:val="center"/>
        <w:rPr>
          <w:rFonts w:cs="Times New Roman"/>
        </w:rPr>
      </w:pPr>
    </w:p>
    <w:sectPr w:rsidR="006664D1" w:rsidRPr="000C7C74" w:rsidSect="000C7C74">
      <w:type w:val="continuous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93E" w:rsidRDefault="0090293E" w:rsidP="000C7C74">
      <w:pPr>
        <w:spacing w:after="0"/>
      </w:pPr>
      <w:r>
        <w:separator/>
      </w:r>
    </w:p>
  </w:endnote>
  <w:endnote w:type="continuationSeparator" w:id="0">
    <w:p w:rsidR="0090293E" w:rsidRDefault="0090293E" w:rsidP="000C7C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93E" w:rsidRDefault="0090293E" w:rsidP="000C7C74">
      <w:pPr>
        <w:spacing w:after="0"/>
      </w:pPr>
      <w:r>
        <w:separator/>
      </w:r>
    </w:p>
  </w:footnote>
  <w:footnote w:type="continuationSeparator" w:id="0">
    <w:p w:rsidR="0090293E" w:rsidRDefault="0090293E" w:rsidP="000C7C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74"/>
    <w:rsid w:val="000A7D90"/>
    <w:rsid w:val="000C7C74"/>
    <w:rsid w:val="00194B69"/>
    <w:rsid w:val="001E10B9"/>
    <w:rsid w:val="002747B3"/>
    <w:rsid w:val="002840DF"/>
    <w:rsid w:val="002C4628"/>
    <w:rsid w:val="00303E58"/>
    <w:rsid w:val="003A1C41"/>
    <w:rsid w:val="003D64DD"/>
    <w:rsid w:val="0062421D"/>
    <w:rsid w:val="00661714"/>
    <w:rsid w:val="006664D1"/>
    <w:rsid w:val="00717DB7"/>
    <w:rsid w:val="00762AEA"/>
    <w:rsid w:val="008156C8"/>
    <w:rsid w:val="00867C49"/>
    <w:rsid w:val="00871552"/>
    <w:rsid w:val="00873BBC"/>
    <w:rsid w:val="0090293E"/>
    <w:rsid w:val="00954784"/>
    <w:rsid w:val="00976BA6"/>
    <w:rsid w:val="009817F6"/>
    <w:rsid w:val="009A4C0B"/>
    <w:rsid w:val="009A59E0"/>
    <w:rsid w:val="009A6756"/>
    <w:rsid w:val="00A04C1E"/>
    <w:rsid w:val="00B208C7"/>
    <w:rsid w:val="00B27711"/>
    <w:rsid w:val="00B4779E"/>
    <w:rsid w:val="00B60726"/>
    <w:rsid w:val="00B96F94"/>
    <w:rsid w:val="00C178DB"/>
    <w:rsid w:val="00C22F6A"/>
    <w:rsid w:val="00C770DA"/>
    <w:rsid w:val="00D25395"/>
    <w:rsid w:val="00DA6633"/>
    <w:rsid w:val="00DC68B8"/>
    <w:rsid w:val="00DC7C16"/>
    <w:rsid w:val="00E325D0"/>
    <w:rsid w:val="00E34376"/>
    <w:rsid w:val="00E5442B"/>
    <w:rsid w:val="00EF2B79"/>
    <w:rsid w:val="00EF33EC"/>
    <w:rsid w:val="00F2085D"/>
    <w:rsid w:val="00F23502"/>
    <w:rsid w:val="00F40166"/>
    <w:rsid w:val="00F4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9,#e7eec4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C74"/>
    <w:pPr>
      <w:spacing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C7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C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C74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7C74"/>
  </w:style>
  <w:style w:type="paragraph" w:styleId="Footer">
    <w:name w:val="footer"/>
    <w:basedOn w:val="Normal"/>
    <w:link w:val="FooterChar"/>
    <w:uiPriority w:val="99"/>
    <w:unhideWhenUsed/>
    <w:rsid w:val="000C7C74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7C74"/>
  </w:style>
  <w:style w:type="table" w:styleId="TableGrid">
    <w:name w:val="Table Grid"/>
    <w:basedOn w:val="TableNormal"/>
    <w:uiPriority w:val="59"/>
    <w:rsid w:val="000C7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C74"/>
    <w:pPr>
      <w:spacing w:line="240" w:lineRule="auto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C7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C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C74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7C74"/>
  </w:style>
  <w:style w:type="paragraph" w:styleId="Footer">
    <w:name w:val="footer"/>
    <w:basedOn w:val="Normal"/>
    <w:link w:val="FooterChar"/>
    <w:uiPriority w:val="99"/>
    <w:unhideWhenUsed/>
    <w:rsid w:val="000C7C74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7C74"/>
  </w:style>
  <w:style w:type="table" w:styleId="TableGrid">
    <w:name w:val="Table Grid"/>
    <w:basedOn w:val="TableNormal"/>
    <w:uiPriority w:val="59"/>
    <w:rsid w:val="000C7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6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8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1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49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58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79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84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86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989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790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07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9534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849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667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openxmlformats.org/officeDocument/2006/relationships/image" Target="media/image1.gif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E4503-7AF5-4B78-84E2-528DE76B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2303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Sanita Lapiņa</dc:creator>
  <cp:lastModifiedBy>Sanita Lapiņa</cp:lastModifiedBy>
  <cp:revision>12</cp:revision>
  <cp:lastPrinted>2019-03-29T07:51:00Z</cp:lastPrinted>
  <dcterms:created xsi:type="dcterms:W3CDTF">2018-11-26T11:20:00Z</dcterms:created>
  <dcterms:modified xsi:type="dcterms:W3CDTF">2019-03-29T07:51:00Z</dcterms:modified>
</cp:coreProperties>
</file>