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AB" w:rsidRPr="002B158C" w:rsidRDefault="006F23AB" w:rsidP="006F23AB">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30E16259" wp14:editId="5186B591">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6F23AB" w:rsidRPr="00D05B67" w:rsidRDefault="006F23AB" w:rsidP="006F23AB">
      <w:pPr>
        <w:keepNext/>
        <w:widowControl w:val="0"/>
        <w:tabs>
          <w:tab w:val="left" w:pos="360"/>
        </w:tabs>
        <w:suppressAutoHyphens/>
        <w:jc w:val="center"/>
        <w:outlineLvl w:val="6"/>
        <w:rPr>
          <w:rFonts w:eastAsia="Lucida Sans Unicode" w:cs="Tahoma"/>
          <w:lang w:val="lv-LV"/>
        </w:rPr>
      </w:pPr>
      <w:r w:rsidRPr="00D05B67">
        <w:rPr>
          <w:rFonts w:eastAsia="Lucida Sans Unicode" w:cs="Tahoma"/>
          <w:lang w:val="lv-LV"/>
        </w:rPr>
        <w:t>JĒKABPILS PILSĒTAS PAŠVALDĪBA</w:t>
      </w:r>
    </w:p>
    <w:p w:rsidR="006F23AB" w:rsidRPr="002B158C" w:rsidRDefault="006F23AB" w:rsidP="006F23AB">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6F23AB" w:rsidRPr="002B158C" w:rsidRDefault="006F23AB" w:rsidP="006F23AB">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6F23AB" w:rsidRPr="002B158C" w:rsidRDefault="006F23AB" w:rsidP="006F23AB">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6F23AB" w:rsidRPr="002B158C" w:rsidRDefault="006F23AB" w:rsidP="006F23AB">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6F23AB" w:rsidRPr="006F23AB" w:rsidRDefault="006F23AB" w:rsidP="006F23AB">
      <w:pPr>
        <w:widowControl w:val="0"/>
        <w:suppressAutoHyphens/>
        <w:jc w:val="center"/>
        <w:rPr>
          <w:b/>
          <w:iCs/>
          <w:lang w:val="lv-LV"/>
        </w:rPr>
      </w:pPr>
      <w:r w:rsidRPr="002B158C">
        <w:rPr>
          <w:rFonts w:eastAsia="Lucida Sans Unicode"/>
          <w:szCs w:val="20"/>
          <w:lang w:val="lv-LV"/>
        </w:rPr>
        <w:t>Jēkabpilī</w:t>
      </w:r>
    </w:p>
    <w:p w:rsidR="006F23AB" w:rsidRPr="002B158C" w:rsidRDefault="006F23AB" w:rsidP="006F23AB">
      <w:pPr>
        <w:pStyle w:val="Heading1"/>
        <w:jc w:val="center"/>
        <w:rPr>
          <w:b w:val="0"/>
          <w:iCs/>
          <w:sz w:val="32"/>
          <w:szCs w:val="32"/>
        </w:rPr>
      </w:pPr>
      <w:r w:rsidRPr="002B158C">
        <w:rPr>
          <w:b w:val="0"/>
          <w:iCs/>
          <w:sz w:val="32"/>
          <w:szCs w:val="32"/>
        </w:rPr>
        <w:t>IEPIRKUMA PROCEDŪRAS</w:t>
      </w:r>
    </w:p>
    <w:p w:rsidR="006F23AB" w:rsidRDefault="006F23AB" w:rsidP="006F23AB">
      <w:pPr>
        <w:pStyle w:val="Heading1"/>
        <w:jc w:val="center"/>
        <w:rPr>
          <w:i/>
        </w:rPr>
      </w:pPr>
      <w:r w:rsidRPr="006F23AB">
        <w:rPr>
          <w:i/>
        </w:rPr>
        <w:t>“</w:t>
      </w:r>
      <w:r w:rsidRPr="005B2DAB">
        <w:rPr>
          <w:i/>
        </w:rPr>
        <w:t xml:space="preserve">Skatuves podestu, jumta konstrukciju, gaismu un skaņas aparatūras noma </w:t>
      </w:r>
    </w:p>
    <w:p w:rsidR="006F23AB" w:rsidRDefault="006F23AB" w:rsidP="006F23AB">
      <w:pPr>
        <w:pStyle w:val="Heading1"/>
        <w:ind w:right="180"/>
        <w:jc w:val="center"/>
        <w:rPr>
          <w:szCs w:val="20"/>
        </w:rPr>
      </w:pPr>
      <w:r w:rsidRPr="005B2DAB">
        <w:rPr>
          <w:i/>
        </w:rPr>
        <w:t>Jēkabpils pilsētas pašvaldības Kultūras pārvaldes rīkotajiem pasākumiem</w:t>
      </w:r>
      <w:r w:rsidRPr="006F23AB">
        <w:rPr>
          <w:i/>
        </w:rPr>
        <w:t>”</w:t>
      </w:r>
      <w:r>
        <w:rPr>
          <w:szCs w:val="20"/>
        </w:rPr>
        <w:t xml:space="preserve">, </w:t>
      </w:r>
    </w:p>
    <w:p w:rsidR="006F23AB" w:rsidRDefault="006F23AB" w:rsidP="006F23AB">
      <w:pPr>
        <w:pStyle w:val="Heading1"/>
        <w:ind w:right="180"/>
        <w:jc w:val="center"/>
      </w:pPr>
      <w:r>
        <w:rPr>
          <w:szCs w:val="20"/>
        </w:rPr>
        <w:t>identifikācijas Nr. JPP 2018/12</w:t>
      </w:r>
    </w:p>
    <w:p w:rsidR="006F23AB" w:rsidRDefault="006F23AB" w:rsidP="006F23AB">
      <w:pPr>
        <w:pStyle w:val="Heading1"/>
        <w:ind w:right="180"/>
        <w:jc w:val="center"/>
      </w:pPr>
      <w:r>
        <w:t xml:space="preserve"> </w:t>
      </w:r>
    </w:p>
    <w:p w:rsidR="006F23AB" w:rsidRDefault="006F23AB" w:rsidP="006F23AB">
      <w:pPr>
        <w:pStyle w:val="Heading1"/>
        <w:ind w:right="180"/>
        <w:jc w:val="center"/>
        <w:rPr>
          <w:bCs/>
          <w:i/>
          <w:iCs/>
        </w:rPr>
      </w:pPr>
      <w:r>
        <w:rPr>
          <w:bCs/>
          <w:i/>
          <w:iCs/>
        </w:rPr>
        <w:t>Z I Ņ O J U M S</w:t>
      </w:r>
    </w:p>
    <w:p w:rsidR="006F23AB" w:rsidRPr="0049781B" w:rsidRDefault="006F23AB" w:rsidP="006F23AB">
      <w:pPr>
        <w:rPr>
          <w:b/>
          <w:iCs/>
          <w:lang w:val="lv-LV"/>
        </w:rPr>
      </w:pPr>
      <w:r w:rsidRPr="0049781B">
        <w:rPr>
          <w:b/>
          <w:lang w:val="lv-LV"/>
        </w:rPr>
        <w:t xml:space="preserve">Jēkabpilī,   </w:t>
      </w:r>
      <w:r w:rsidRPr="0049781B">
        <w:rPr>
          <w:b/>
          <w:lang w:val="lv-LV"/>
        </w:rPr>
        <w:tab/>
      </w:r>
      <w:r w:rsidRPr="0049781B">
        <w:rPr>
          <w:b/>
          <w:lang w:val="lv-LV"/>
        </w:rPr>
        <w:tab/>
      </w:r>
      <w:r w:rsidRPr="0049781B">
        <w:rPr>
          <w:b/>
          <w:lang w:val="lv-LV"/>
        </w:rPr>
        <w:tab/>
      </w:r>
      <w:r w:rsidRPr="0049781B">
        <w:rPr>
          <w:b/>
          <w:lang w:val="lv-LV"/>
        </w:rPr>
        <w:tab/>
      </w:r>
      <w:r w:rsidRPr="0049781B">
        <w:rPr>
          <w:b/>
          <w:lang w:val="lv-LV"/>
        </w:rPr>
        <w:tab/>
      </w:r>
      <w:r w:rsidRPr="0049781B">
        <w:rPr>
          <w:b/>
          <w:lang w:val="lv-LV"/>
        </w:rPr>
        <w:tab/>
      </w:r>
      <w:r w:rsidRPr="0049781B">
        <w:rPr>
          <w:b/>
          <w:lang w:val="lv-LV"/>
        </w:rPr>
        <w:tab/>
        <w:t xml:space="preserve">                           2018.gada 13.aprīlī                                                                                                          </w:t>
      </w:r>
      <w:r w:rsidRPr="0049781B">
        <w:rPr>
          <w:b/>
          <w:lang w:val="lv-LV"/>
        </w:rPr>
        <w:tab/>
      </w:r>
      <w:r w:rsidRPr="0049781B">
        <w:rPr>
          <w:b/>
          <w:lang w:val="lv-LV"/>
        </w:rPr>
        <w:tab/>
        <w:t xml:space="preserve">      </w:t>
      </w:r>
    </w:p>
    <w:p w:rsidR="006F23AB" w:rsidRDefault="006F23AB" w:rsidP="006F23AB">
      <w:pPr>
        <w:ind w:right="-2" w:firstLine="720"/>
        <w:jc w:val="both"/>
        <w:rPr>
          <w:lang w:val="lv-LV"/>
        </w:rPr>
      </w:pPr>
      <w:r>
        <w:rPr>
          <w:b/>
          <w:lang w:val="lv-LV"/>
        </w:rPr>
        <w:t>1. Pasūtītāja nosaukums un adrese, reģistrācijas numurs</w:t>
      </w:r>
      <w:r>
        <w:rPr>
          <w:lang w:val="lv-LV"/>
        </w:rPr>
        <w:t xml:space="preserve"> – Jēkabpils pilsētas pašvaldība, reģistrācijas Nr. 90000024205, Brīvības iela 120, Jēkabpils, LV-5201. </w:t>
      </w:r>
    </w:p>
    <w:p w:rsidR="006F23AB" w:rsidRDefault="006F23AB" w:rsidP="006F23AB">
      <w:pPr>
        <w:jc w:val="both"/>
      </w:pPr>
      <w:r w:rsidRPr="006F23AB">
        <w:rPr>
          <w:bCs/>
          <w:lang w:val="lv-LV"/>
        </w:rPr>
        <w:t xml:space="preserve">            </w:t>
      </w:r>
      <w:r w:rsidRPr="006F23AB">
        <w:rPr>
          <w:b/>
          <w:bCs/>
          <w:lang w:val="lv-LV"/>
        </w:rPr>
        <w:t xml:space="preserve">2. Iepirkuma priekšmets, identifikācijas numurs </w:t>
      </w:r>
      <w:r w:rsidRPr="006F23AB">
        <w:rPr>
          <w:lang w:val="lv-LV"/>
        </w:rPr>
        <w:t>– “Skatuves podestu, jumta konstrukciju, gaismu un skaņas aparatūras noma Jēkabpils pilsētas pašvaldības Kultūras pārvaldes rīkotajiem pasākumiem”</w:t>
      </w:r>
      <w:r w:rsidRPr="006F23AB">
        <w:rPr>
          <w:szCs w:val="20"/>
          <w:lang w:val="lv-LV"/>
        </w:rPr>
        <w:t xml:space="preserve">, identifikācijas Nr. </w:t>
      </w:r>
      <w:r>
        <w:rPr>
          <w:szCs w:val="20"/>
        </w:rPr>
        <w:t>JPP 2018/12.</w:t>
      </w:r>
    </w:p>
    <w:p w:rsidR="006F23AB" w:rsidRDefault="006F23AB" w:rsidP="006F23AB">
      <w:pPr>
        <w:ind w:right="-2" w:firstLine="720"/>
        <w:jc w:val="both"/>
        <w:rPr>
          <w:bCs/>
          <w:lang w:val="lv-LV"/>
        </w:rPr>
      </w:pPr>
      <w:r>
        <w:rPr>
          <w:b/>
          <w:lang w:val="lv-LV"/>
        </w:rPr>
        <w:t xml:space="preserve">3. Paziņojums par līgumu publicēts internetā </w:t>
      </w:r>
      <w:r>
        <w:rPr>
          <w:b/>
          <w:color w:val="000000"/>
          <w:lang w:val="lv-LV"/>
        </w:rPr>
        <w:t>(</w:t>
      </w:r>
      <w:hyperlink r:id="rId8" w:history="1">
        <w:r>
          <w:rPr>
            <w:rStyle w:val="Hyperlink"/>
            <w:b/>
            <w:lang w:val="lv-LV"/>
          </w:rPr>
          <w:t>www.iub.gov.lv</w:t>
        </w:r>
      </w:hyperlink>
      <w:r>
        <w:rPr>
          <w:b/>
          <w:color w:val="000000"/>
          <w:lang w:val="lv-LV"/>
        </w:rPr>
        <w:t>)</w:t>
      </w:r>
      <w:r>
        <w:rPr>
          <w:b/>
          <w:lang w:val="lv-LV"/>
        </w:rPr>
        <w:t xml:space="preserve"> </w:t>
      </w:r>
      <w:r>
        <w:rPr>
          <w:bCs/>
          <w:lang w:val="lv-LV"/>
        </w:rPr>
        <w:t>– 23.02.2018.</w:t>
      </w:r>
    </w:p>
    <w:p w:rsidR="006F23AB" w:rsidRPr="00E42E25" w:rsidRDefault="006F23AB" w:rsidP="006F23AB">
      <w:pPr>
        <w:ind w:right="-2" w:firstLine="720"/>
        <w:jc w:val="both"/>
        <w:rPr>
          <w:b/>
          <w:lang w:val="lv-LV"/>
        </w:rPr>
      </w:pPr>
      <w:r>
        <w:rPr>
          <w:b/>
          <w:lang w:val="lv-LV"/>
        </w:rPr>
        <w:t xml:space="preserve">4. </w:t>
      </w:r>
      <w:r w:rsidRPr="00E42E25">
        <w:rPr>
          <w:b/>
          <w:lang w:val="lv-LV"/>
        </w:rPr>
        <w:t xml:space="preserve">Iepirkuma komisijas sastāvs un tās izveidošanas pamatojums: </w:t>
      </w:r>
      <w:r w:rsidRPr="00E42E25">
        <w:rPr>
          <w:bCs/>
          <w:color w:val="000000"/>
          <w:lang w:val="lv-LV"/>
        </w:rPr>
        <w:t xml:space="preserve">izveidota pamatojoties uz 2017.gada 24.augusta Jēkabpils pilsētas domes sēdes lēmumu Nr.293 (protokols Nr. 22, 10.§) </w:t>
      </w:r>
      <w:r w:rsidRPr="00E42E25">
        <w:rPr>
          <w:lang w:val="lv-LV"/>
        </w:rPr>
        <w:t>šādā sastāvā:</w:t>
      </w:r>
    </w:p>
    <w:p w:rsidR="006F23AB" w:rsidRPr="00E42E25" w:rsidRDefault="006F23AB" w:rsidP="006F23AB">
      <w:pPr>
        <w:ind w:firstLine="720"/>
        <w:jc w:val="both"/>
        <w:rPr>
          <w:lang w:val="lv-LV"/>
        </w:rPr>
      </w:pPr>
      <w:r>
        <w:rPr>
          <w:lang w:val="lv-LV"/>
        </w:rPr>
        <w:t xml:space="preserve">- </w:t>
      </w:r>
      <w:r w:rsidRPr="00E42E25">
        <w:rPr>
          <w:lang w:val="lv-LV"/>
        </w:rPr>
        <w:t>iepirkuma komisijas priekšsēdētāja: Linda Meldrāja;</w:t>
      </w:r>
    </w:p>
    <w:p w:rsidR="006F23AB" w:rsidRPr="00E42E25" w:rsidRDefault="006F23AB" w:rsidP="006F23AB">
      <w:pPr>
        <w:ind w:left="720" w:right="-2"/>
        <w:jc w:val="both"/>
        <w:rPr>
          <w:b/>
          <w:lang w:val="lv-LV"/>
        </w:rPr>
      </w:pPr>
      <w:r>
        <w:rPr>
          <w:lang w:val="lv-LV"/>
        </w:rPr>
        <w:t xml:space="preserve">- </w:t>
      </w:r>
      <w:r w:rsidRPr="00E42E25">
        <w:rPr>
          <w:lang w:val="lv-LV"/>
        </w:rPr>
        <w:t xml:space="preserve">iepirkuma komisijas locekļi: Andrejs Kozlovskis, Mirdza Stankevica, Alberts Barkāns. </w:t>
      </w:r>
      <w:r w:rsidRPr="00E42E25">
        <w:rPr>
          <w:b/>
          <w:lang w:val="lv-LV"/>
        </w:rPr>
        <w:t>5.</w:t>
      </w:r>
      <w:r>
        <w:rPr>
          <w:lang w:val="lv-LV"/>
        </w:rPr>
        <w:t xml:space="preserve"> </w:t>
      </w:r>
      <w:r w:rsidRPr="00E42E25">
        <w:rPr>
          <w:b/>
          <w:lang w:val="lv-LV"/>
        </w:rPr>
        <w:t xml:space="preserve">Iepirkuma procedūras dokumentu sagatavotāji: </w:t>
      </w:r>
    </w:p>
    <w:p w:rsidR="006F23AB" w:rsidRPr="005B2DAB" w:rsidRDefault="006F23AB" w:rsidP="006F23AB">
      <w:pPr>
        <w:pStyle w:val="ListParagraph"/>
        <w:numPr>
          <w:ilvl w:val="0"/>
          <w:numId w:val="2"/>
        </w:numPr>
        <w:ind w:right="-2"/>
        <w:jc w:val="both"/>
        <w:rPr>
          <w:lang w:val="lv-LV"/>
        </w:rPr>
      </w:pPr>
      <w:r w:rsidRPr="005B2DAB">
        <w:rPr>
          <w:lang w:val="lv-LV"/>
        </w:rPr>
        <w:t>Jēkabpils pilsētas pašvaldības Juridiskās nodaļas jurist</w:t>
      </w:r>
      <w:r>
        <w:rPr>
          <w:lang w:val="lv-LV"/>
        </w:rPr>
        <w:t>e Inese Elksne</w:t>
      </w:r>
      <w:r w:rsidRPr="005B2DAB">
        <w:rPr>
          <w:lang w:val="lv-LV"/>
        </w:rPr>
        <w:t>;</w:t>
      </w:r>
    </w:p>
    <w:p w:rsidR="006F23AB" w:rsidRPr="005B2DAB" w:rsidRDefault="006F23AB" w:rsidP="006F23AB">
      <w:pPr>
        <w:pStyle w:val="ListParagraph"/>
        <w:numPr>
          <w:ilvl w:val="0"/>
          <w:numId w:val="2"/>
        </w:numPr>
        <w:ind w:right="-2"/>
        <w:jc w:val="both"/>
        <w:rPr>
          <w:lang w:val="lv-LV"/>
        </w:rPr>
      </w:pPr>
      <w:r w:rsidRPr="005B2DAB">
        <w:rPr>
          <w:lang w:val="lv-LV"/>
        </w:rPr>
        <w:t>Kultūras pārvaldes direktore Inta Ūbele;</w:t>
      </w:r>
    </w:p>
    <w:p w:rsidR="006F23AB" w:rsidRPr="005B2DAB" w:rsidRDefault="006F23AB" w:rsidP="006F23AB">
      <w:pPr>
        <w:pStyle w:val="ListParagraph"/>
        <w:numPr>
          <w:ilvl w:val="0"/>
          <w:numId w:val="2"/>
        </w:numPr>
        <w:ind w:right="-2"/>
        <w:jc w:val="both"/>
        <w:rPr>
          <w:lang w:val="lv-LV"/>
        </w:rPr>
      </w:pPr>
      <w:r w:rsidRPr="005B2DAB">
        <w:rPr>
          <w:lang w:val="lv-LV"/>
        </w:rPr>
        <w:t>Kultūras pārvaldes direktores vietniece</w:t>
      </w:r>
      <w:r>
        <w:rPr>
          <w:lang w:val="lv-LV"/>
        </w:rPr>
        <w:t xml:space="preserve">s </w:t>
      </w:r>
      <w:proofErr w:type="spellStart"/>
      <w:r>
        <w:rPr>
          <w:lang w:val="lv-LV"/>
        </w:rPr>
        <w:t>p.i</w:t>
      </w:r>
      <w:proofErr w:type="spellEnd"/>
      <w:r>
        <w:rPr>
          <w:lang w:val="lv-LV"/>
        </w:rPr>
        <w:t>.</w:t>
      </w:r>
      <w:r w:rsidRPr="005B2DAB">
        <w:rPr>
          <w:lang w:val="lv-LV"/>
        </w:rPr>
        <w:t xml:space="preserve"> </w:t>
      </w:r>
      <w:r>
        <w:rPr>
          <w:lang w:val="lv-LV"/>
        </w:rPr>
        <w:t xml:space="preserve">Liene </w:t>
      </w:r>
      <w:proofErr w:type="spellStart"/>
      <w:r>
        <w:rPr>
          <w:lang w:val="lv-LV"/>
        </w:rPr>
        <w:t>Lamba</w:t>
      </w:r>
      <w:proofErr w:type="spellEnd"/>
      <w:r w:rsidRPr="005B2DAB">
        <w:rPr>
          <w:lang w:val="lv-LV"/>
        </w:rPr>
        <w:t>.</w:t>
      </w:r>
    </w:p>
    <w:p w:rsidR="006F23AB" w:rsidRPr="00304AD9" w:rsidRDefault="006F23AB" w:rsidP="006F23AB">
      <w:pPr>
        <w:ind w:right="-2" w:firstLine="720"/>
        <w:jc w:val="both"/>
        <w:rPr>
          <w:lang w:val="lv-LV"/>
        </w:rPr>
      </w:pPr>
      <w:r>
        <w:rPr>
          <w:b/>
          <w:lang w:val="lv-LV"/>
        </w:rPr>
        <w:t xml:space="preserve">6. </w:t>
      </w:r>
      <w:r w:rsidRPr="00304AD9">
        <w:rPr>
          <w:b/>
          <w:lang w:val="lv-LV"/>
        </w:rPr>
        <w:t>Piedāvājumu iesniegšanas termiņš –</w:t>
      </w:r>
      <w:r w:rsidRPr="00304AD9">
        <w:rPr>
          <w:bCs/>
          <w:lang w:val="lv-LV"/>
        </w:rPr>
        <w:t xml:space="preserve"> līdz 201</w:t>
      </w:r>
      <w:r>
        <w:rPr>
          <w:bCs/>
          <w:lang w:val="lv-LV"/>
        </w:rPr>
        <w:t>8</w:t>
      </w:r>
      <w:r w:rsidRPr="00304AD9">
        <w:rPr>
          <w:bCs/>
          <w:lang w:val="lv-LV"/>
        </w:rPr>
        <w:t xml:space="preserve">.gada </w:t>
      </w:r>
      <w:r>
        <w:rPr>
          <w:bCs/>
          <w:lang w:val="lv-LV"/>
        </w:rPr>
        <w:t>16.martam</w:t>
      </w:r>
      <w:r w:rsidRPr="00304AD9">
        <w:rPr>
          <w:bCs/>
          <w:lang w:val="lv-LV"/>
        </w:rPr>
        <w:t xml:space="preserve"> plkst. 1</w:t>
      </w:r>
      <w:r>
        <w:rPr>
          <w:bCs/>
          <w:lang w:val="lv-LV"/>
        </w:rPr>
        <w:t>4</w:t>
      </w:r>
      <w:r w:rsidRPr="00304AD9">
        <w:rPr>
          <w:bCs/>
          <w:lang w:val="lv-LV"/>
        </w:rPr>
        <w:t>.00.</w:t>
      </w:r>
    </w:p>
    <w:p w:rsidR="006F23AB" w:rsidRDefault="006F23AB" w:rsidP="006F23AB">
      <w:pPr>
        <w:ind w:right="-2" w:firstLine="720"/>
        <w:jc w:val="both"/>
        <w:rPr>
          <w:b/>
          <w:lang w:val="lv-LV"/>
        </w:rPr>
      </w:pPr>
      <w:r>
        <w:rPr>
          <w:b/>
          <w:lang w:val="lv-LV"/>
        </w:rPr>
        <w:t xml:space="preserve">7. </w:t>
      </w:r>
      <w:r w:rsidRPr="00304AD9">
        <w:rPr>
          <w:b/>
          <w:lang w:val="lv-LV"/>
        </w:rPr>
        <w:t>Piegādātāju nosaukumi, kuri ir iesnieguši piedāvājumus, kā arī piedāvātās cenas:</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4270"/>
        <w:gridCol w:w="1985"/>
        <w:gridCol w:w="2268"/>
      </w:tblGrid>
      <w:tr w:rsidR="006F23AB" w:rsidTr="007F6E1C">
        <w:tc>
          <w:tcPr>
            <w:tcW w:w="720"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tabs>
                <w:tab w:val="left" w:pos="504"/>
              </w:tabs>
              <w:ind w:right="-2"/>
              <w:jc w:val="left"/>
              <w:rPr>
                <w:b/>
                <w:szCs w:val="22"/>
              </w:rPr>
            </w:pPr>
            <w:r>
              <w:rPr>
                <w:b/>
                <w:szCs w:val="22"/>
              </w:rPr>
              <w:t>Nr.</w:t>
            </w:r>
          </w:p>
          <w:p w:rsidR="006F23AB" w:rsidRDefault="006F23AB" w:rsidP="007F6E1C">
            <w:pPr>
              <w:pStyle w:val="BodyText"/>
              <w:tabs>
                <w:tab w:val="left" w:pos="504"/>
              </w:tabs>
              <w:ind w:right="-2"/>
              <w:jc w:val="left"/>
              <w:rPr>
                <w:b/>
                <w:szCs w:val="22"/>
              </w:rPr>
            </w:pPr>
            <w:r>
              <w:rPr>
                <w:b/>
                <w:szCs w:val="22"/>
              </w:rPr>
              <w:t>p.k.</w:t>
            </w:r>
          </w:p>
        </w:tc>
        <w:tc>
          <w:tcPr>
            <w:tcW w:w="4270"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b/>
                <w:szCs w:val="22"/>
              </w:rPr>
            </w:pPr>
            <w:r>
              <w:rPr>
                <w:b/>
                <w:szCs w:val="22"/>
              </w:rPr>
              <w:t>Pretendents</w:t>
            </w:r>
          </w:p>
          <w:p w:rsidR="006F23AB" w:rsidRDefault="006F23AB" w:rsidP="007F6E1C">
            <w:pPr>
              <w:pStyle w:val="BodyText"/>
              <w:ind w:right="-2"/>
              <w:jc w:val="center"/>
              <w:rPr>
                <w:szCs w:val="22"/>
              </w:rPr>
            </w:pPr>
            <w:r>
              <w:rPr>
                <w:szCs w:val="22"/>
              </w:rPr>
              <w:t xml:space="preserve">(nosaukums, Vienot. </w:t>
            </w:r>
            <w:proofErr w:type="spellStart"/>
            <w:r>
              <w:rPr>
                <w:szCs w:val="22"/>
              </w:rPr>
              <w:t>Reģ</w:t>
            </w:r>
            <w:proofErr w:type="spellEnd"/>
            <w:r>
              <w:rPr>
                <w:szCs w:val="22"/>
              </w:rPr>
              <w:t>. Nr.,</w:t>
            </w:r>
          </w:p>
          <w:p w:rsidR="006F23AB" w:rsidRDefault="006F23AB" w:rsidP="007F6E1C">
            <w:pPr>
              <w:pStyle w:val="BodyText"/>
              <w:ind w:right="-2"/>
              <w:jc w:val="center"/>
              <w:rPr>
                <w:szCs w:val="22"/>
              </w:rPr>
            </w:pPr>
            <w:r>
              <w:rPr>
                <w:szCs w:val="22"/>
              </w:rPr>
              <w:t>adrese)</w:t>
            </w:r>
          </w:p>
        </w:tc>
        <w:tc>
          <w:tcPr>
            <w:tcW w:w="1985"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b/>
                <w:szCs w:val="22"/>
              </w:rPr>
            </w:pPr>
            <w:r>
              <w:rPr>
                <w:b/>
                <w:szCs w:val="22"/>
              </w:rPr>
              <w:t>Piedāvājuma</w:t>
            </w:r>
          </w:p>
          <w:p w:rsidR="006F23AB" w:rsidRDefault="006F23AB" w:rsidP="007F6E1C">
            <w:pPr>
              <w:pStyle w:val="BodyText"/>
              <w:ind w:right="-2"/>
              <w:jc w:val="center"/>
              <w:rPr>
                <w:b/>
                <w:szCs w:val="22"/>
              </w:rPr>
            </w:pPr>
            <w:r>
              <w:rPr>
                <w:b/>
                <w:szCs w:val="22"/>
              </w:rPr>
              <w:t>iesniegšanas datums</w:t>
            </w:r>
          </w:p>
          <w:p w:rsidR="006F23AB" w:rsidRDefault="006F23AB" w:rsidP="007F6E1C">
            <w:pPr>
              <w:pStyle w:val="BodyText"/>
              <w:ind w:right="-2"/>
              <w:jc w:val="center"/>
              <w:rPr>
                <w:b/>
                <w:szCs w:val="22"/>
              </w:rPr>
            </w:pPr>
            <w:r>
              <w:rPr>
                <w:b/>
                <w:szCs w:val="22"/>
              </w:rPr>
              <w:t>un laiks</w:t>
            </w:r>
          </w:p>
        </w:tc>
        <w:tc>
          <w:tcPr>
            <w:tcW w:w="2268"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b/>
                <w:szCs w:val="22"/>
              </w:rPr>
            </w:pPr>
            <w:r>
              <w:rPr>
                <w:b/>
                <w:szCs w:val="22"/>
              </w:rPr>
              <w:t>Vērtējamā piedāvātā vienas vienības cena kopā</w:t>
            </w:r>
          </w:p>
          <w:p w:rsidR="006F23AB" w:rsidRDefault="006F23AB" w:rsidP="007F6E1C">
            <w:pPr>
              <w:pStyle w:val="BodyText"/>
              <w:ind w:right="-2"/>
              <w:jc w:val="center"/>
              <w:rPr>
                <w:b/>
                <w:szCs w:val="22"/>
              </w:rPr>
            </w:pPr>
            <w:r>
              <w:rPr>
                <w:b/>
                <w:szCs w:val="22"/>
              </w:rPr>
              <w:t>(</w:t>
            </w:r>
            <w:r>
              <w:rPr>
                <w:b/>
                <w:i/>
                <w:iCs/>
                <w:szCs w:val="22"/>
              </w:rPr>
              <w:t>EUR</w:t>
            </w:r>
            <w:r>
              <w:rPr>
                <w:b/>
                <w:szCs w:val="22"/>
              </w:rPr>
              <w:t xml:space="preserve"> bez</w:t>
            </w:r>
          </w:p>
          <w:p w:rsidR="006F23AB" w:rsidRDefault="006F23AB" w:rsidP="007F6E1C">
            <w:pPr>
              <w:pStyle w:val="BodyText"/>
              <w:ind w:right="-2"/>
              <w:jc w:val="center"/>
              <w:rPr>
                <w:b/>
                <w:szCs w:val="22"/>
              </w:rPr>
            </w:pPr>
            <w:r>
              <w:rPr>
                <w:b/>
                <w:szCs w:val="22"/>
              </w:rPr>
              <w:t>PVN)</w:t>
            </w:r>
          </w:p>
        </w:tc>
      </w:tr>
      <w:tr w:rsidR="006F23AB" w:rsidRPr="00304AD9" w:rsidTr="007F6E1C">
        <w:tc>
          <w:tcPr>
            <w:tcW w:w="720"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szCs w:val="22"/>
              </w:rPr>
            </w:pPr>
          </w:p>
          <w:p w:rsidR="006F23AB" w:rsidRDefault="006F23AB" w:rsidP="007F6E1C">
            <w:pPr>
              <w:pStyle w:val="BodyText"/>
              <w:ind w:right="-2"/>
              <w:jc w:val="center"/>
              <w:rPr>
                <w:szCs w:val="22"/>
              </w:rPr>
            </w:pPr>
            <w:r>
              <w:rPr>
                <w:szCs w:val="22"/>
              </w:rPr>
              <w:t xml:space="preserve"> 1.</w:t>
            </w:r>
          </w:p>
        </w:tc>
        <w:tc>
          <w:tcPr>
            <w:tcW w:w="4270"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left"/>
              <w:rPr>
                <w:b/>
                <w:bCs/>
                <w:color w:val="000000"/>
              </w:rPr>
            </w:pPr>
            <w:r>
              <w:rPr>
                <w:b/>
                <w:bCs/>
                <w:color w:val="000000"/>
              </w:rPr>
              <w:t>SIA “AJV grupa”,</w:t>
            </w:r>
          </w:p>
          <w:p w:rsidR="006F23AB" w:rsidRDefault="006F23AB" w:rsidP="007F6E1C">
            <w:pPr>
              <w:pStyle w:val="BodyText"/>
              <w:ind w:right="-2"/>
              <w:jc w:val="left"/>
              <w:rPr>
                <w:color w:val="000000"/>
              </w:rPr>
            </w:pPr>
            <w:proofErr w:type="spellStart"/>
            <w:r>
              <w:rPr>
                <w:color w:val="000000"/>
              </w:rPr>
              <w:t>Reģ.Nr</w:t>
            </w:r>
            <w:proofErr w:type="spellEnd"/>
            <w:r>
              <w:rPr>
                <w:color w:val="000000"/>
              </w:rPr>
              <w:t>. 45403010389,</w:t>
            </w:r>
          </w:p>
          <w:p w:rsidR="006F23AB" w:rsidRDefault="006F23AB" w:rsidP="006F23AB">
            <w:pPr>
              <w:pStyle w:val="BodyText"/>
              <w:ind w:right="-2"/>
              <w:jc w:val="left"/>
              <w:rPr>
                <w:color w:val="000000"/>
                <w:szCs w:val="22"/>
              </w:rPr>
            </w:pPr>
            <w:r>
              <w:rPr>
                <w:color w:val="000000"/>
              </w:rPr>
              <w:t>Rīgas iela 210A, Jēkabpils, LV-5202</w:t>
            </w:r>
          </w:p>
        </w:tc>
        <w:tc>
          <w:tcPr>
            <w:tcW w:w="1985"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szCs w:val="22"/>
              </w:rPr>
            </w:pPr>
          </w:p>
          <w:p w:rsidR="006F23AB" w:rsidRDefault="006F23AB" w:rsidP="007F6E1C">
            <w:pPr>
              <w:pStyle w:val="BodyText"/>
              <w:ind w:right="-2"/>
              <w:jc w:val="center"/>
              <w:rPr>
                <w:szCs w:val="22"/>
              </w:rPr>
            </w:pPr>
            <w:r>
              <w:rPr>
                <w:szCs w:val="22"/>
              </w:rPr>
              <w:t>16.03.2018.</w:t>
            </w:r>
          </w:p>
          <w:p w:rsidR="006F23AB" w:rsidRDefault="006F23AB" w:rsidP="006F23AB">
            <w:pPr>
              <w:pStyle w:val="BodyText"/>
              <w:ind w:right="-2"/>
              <w:jc w:val="center"/>
              <w:rPr>
                <w:szCs w:val="22"/>
              </w:rPr>
            </w:pPr>
            <w:r>
              <w:rPr>
                <w:szCs w:val="22"/>
              </w:rPr>
              <w:t>plkst.13:49</w:t>
            </w:r>
          </w:p>
        </w:tc>
        <w:tc>
          <w:tcPr>
            <w:tcW w:w="2268"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b/>
              </w:rPr>
            </w:pPr>
          </w:p>
          <w:p w:rsidR="006F23AB" w:rsidRPr="00A73C03" w:rsidRDefault="006F23AB" w:rsidP="007F6E1C">
            <w:pPr>
              <w:pStyle w:val="BodyText"/>
              <w:tabs>
                <w:tab w:val="left" w:pos="-108"/>
              </w:tabs>
              <w:ind w:right="-2" w:hanging="108"/>
              <w:jc w:val="center"/>
              <w:rPr>
                <w:b/>
                <w:color w:val="000000" w:themeColor="text1"/>
              </w:rPr>
            </w:pPr>
            <w:r>
              <w:rPr>
                <w:b/>
                <w:color w:val="000000" w:themeColor="text1"/>
              </w:rPr>
              <w:t>16 351,00</w:t>
            </w:r>
          </w:p>
          <w:p w:rsidR="006F23AB" w:rsidRDefault="006F23AB" w:rsidP="007F6E1C">
            <w:pPr>
              <w:pStyle w:val="BodyText"/>
              <w:ind w:right="-2"/>
              <w:jc w:val="center"/>
              <w:rPr>
                <w:b/>
              </w:rPr>
            </w:pPr>
          </w:p>
        </w:tc>
      </w:tr>
    </w:tbl>
    <w:p w:rsidR="006F23AB" w:rsidRDefault="006F23AB" w:rsidP="006F23AB">
      <w:pPr>
        <w:ind w:right="-2"/>
        <w:jc w:val="both"/>
        <w:rPr>
          <w:b/>
          <w:bCs/>
          <w:lang w:val="lv-LV"/>
        </w:rPr>
      </w:pPr>
    </w:p>
    <w:p w:rsidR="006F23AB" w:rsidRPr="00304AD9" w:rsidRDefault="006F23AB" w:rsidP="006F23AB">
      <w:pPr>
        <w:ind w:right="-2" w:firstLine="709"/>
        <w:jc w:val="both"/>
        <w:rPr>
          <w:lang w:val="lv-LV"/>
        </w:rPr>
      </w:pPr>
      <w:r>
        <w:rPr>
          <w:b/>
          <w:lang w:val="lv-LV"/>
        </w:rPr>
        <w:t xml:space="preserve">8. </w:t>
      </w:r>
      <w:r w:rsidRPr="00304AD9">
        <w:rPr>
          <w:b/>
          <w:lang w:val="lv-LV"/>
        </w:rPr>
        <w:t xml:space="preserve">Piedāvājumu atvēršanas vieta, datums un laiks – </w:t>
      </w:r>
      <w:r w:rsidRPr="00304AD9">
        <w:rPr>
          <w:lang w:val="lv-LV"/>
        </w:rPr>
        <w:t xml:space="preserve">Jēkabpils pilsētas pašvaldība, 209.kab., </w:t>
      </w:r>
      <w:r w:rsidRPr="00304AD9">
        <w:rPr>
          <w:bCs/>
          <w:lang w:val="lv-LV"/>
        </w:rPr>
        <w:t>201</w:t>
      </w:r>
      <w:r>
        <w:rPr>
          <w:bCs/>
          <w:lang w:val="lv-LV"/>
        </w:rPr>
        <w:t>8</w:t>
      </w:r>
      <w:r w:rsidRPr="00304AD9">
        <w:rPr>
          <w:bCs/>
          <w:lang w:val="lv-LV"/>
        </w:rPr>
        <w:t xml:space="preserve">.gada </w:t>
      </w:r>
      <w:r>
        <w:rPr>
          <w:bCs/>
          <w:lang w:val="lv-LV"/>
        </w:rPr>
        <w:t>16.martā</w:t>
      </w:r>
      <w:r w:rsidRPr="00304AD9">
        <w:rPr>
          <w:bCs/>
          <w:lang w:val="lv-LV"/>
        </w:rPr>
        <w:t xml:space="preserve"> plkst. 1</w:t>
      </w:r>
      <w:r>
        <w:rPr>
          <w:bCs/>
          <w:lang w:val="lv-LV"/>
        </w:rPr>
        <w:t>4</w:t>
      </w:r>
      <w:r w:rsidRPr="00304AD9">
        <w:rPr>
          <w:bCs/>
          <w:lang w:val="lv-LV"/>
        </w:rPr>
        <w:t>.00.</w:t>
      </w:r>
    </w:p>
    <w:p w:rsidR="006F23AB" w:rsidRDefault="006F23AB" w:rsidP="006F23AB">
      <w:pPr>
        <w:ind w:right="-2" w:firstLine="709"/>
        <w:jc w:val="both"/>
        <w:rPr>
          <w:b/>
          <w:lang w:val="lv-LV"/>
        </w:rPr>
      </w:pPr>
      <w:r>
        <w:rPr>
          <w:b/>
          <w:lang w:val="lv-LV"/>
        </w:rPr>
        <w:t xml:space="preserve">9. </w:t>
      </w:r>
      <w:r w:rsidRPr="00304AD9">
        <w:rPr>
          <w:b/>
          <w:lang w:val="lv-LV"/>
        </w:rPr>
        <w:t xml:space="preserve">Pretendenta (vai pretendentu) nosaukums, kuram (vai kuriem) piešķirtas iepirkuma līguma slēgšanas tiesības, piedāvātā līgumcena, kā arī piedāvājumu izvērtēšanas kopsavilkums un piedāvājuma izvēles pamatojums: </w:t>
      </w:r>
    </w:p>
    <w:p w:rsidR="006F23AB" w:rsidRDefault="006F23AB" w:rsidP="006F23AB">
      <w:pPr>
        <w:ind w:right="-2" w:firstLine="709"/>
        <w:jc w:val="both"/>
        <w:rPr>
          <w:b/>
          <w:lang w:val="lv-LV"/>
        </w:rPr>
      </w:pPr>
    </w:p>
    <w:p w:rsidR="006F23AB" w:rsidRDefault="006F23AB" w:rsidP="006F23AB">
      <w:pPr>
        <w:ind w:right="-2" w:firstLine="709"/>
        <w:jc w:val="both"/>
        <w:rPr>
          <w:b/>
          <w:lang w:val="lv-LV"/>
        </w:rPr>
      </w:pPr>
    </w:p>
    <w:p w:rsidR="006F23AB" w:rsidRDefault="006F23AB" w:rsidP="006F23AB">
      <w:pPr>
        <w:ind w:right="-2" w:firstLine="709"/>
        <w:jc w:val="both"/>
        <w:rPr>
          <w:b/>
          <w:lang w:val="lv-LV"/>
        </w:rPr>
      </w:pPr>
    </w:p>
    <w:p w:rsidR="006F23AB" w:rsidRPr="00304AD9" w:rsidRDefault="006F23AB" w:rsidP="006F23AB">
      <w:pPr>
        <w:ind w:right="-2" w:firstLine="709"/>
        <w:jc w:val="both"/>
        <w:rPr>
          <w:b/>
          <w:lang w:val="lv-LV"/>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562"/>
        <w:gridCol w:w="5258"/>
      </w:tblGrid>
      <w:tr w:rsidR="006F23AB" w:rsidTr="006F23AB">
        <w:tc>
          <w:tcPr>
            <w:tcW w:w="720"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left"/>
              <w:rPr>
                <w:b/>
                <w:szCs w:val="22"/>
              </w:rPr>
            </w:pPr>
            <w:r>
              <w:rPr>
                <w:b/>
                <w:szCs w:val="22"/>
              </w:rPr>
              <w:lastRenderedPageBreak/>
              <w:t xml:space="preserve">Nr. </w:t>
            </w:r>
          </w:p>
          <w:p w:rsidR="006F23AB" w:rsidRDefault="006F23AB" w:rsidP="007F6E1C">
            <w:pPr>
              <w:pStyle w:val="BodyText"/>
              <w:ind w:right="-2"/>
              <w:jc w:val="left"/>
              <w:rPr>
                <w:b/>
                <w:szCs w:val="22"/>
              </w:rPr>
            </w:pPr>
            <w:r>
              <w:rPr>
                <w:b/>
                <w:szCs w:val="22"/>
              </w:rPr>
              <w:t>p.k.</w:t>
            </w:r>
          </w:p>
        </w:tc>
        <w:tc>
          <w:tcPr>
            <w:tcW w:w="3562"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b/>
                <w:szCs w:val="22"/>
              </w:rPr>
            </w:pPr>
            <w:r>
              <w:rPr>
                <w:b/>
                <w:szCs w:val="22"/>
              </w:rPr>
              <w:t>Pretendents</w:t>
            </w:r>
          </w:p>
          <w:p w:rsidR="006F23AB" w:rsidRDefault="006F23AB" w:rsidP="007F6E1C">
            <w:pPr>
              <w:pStyle w:val="BodyText"/>
              <w:ind w:right="-2"/>
              <w:jc w:val="center"/>
              <w:rPr>
                <w:szCs w:val="22"/>
              </w:rPr>
            </w:pPr>
            <w:r>
              <w:rPr>
                <w:szCs w:val="22"/>
              </w:rPr>
              <w:t xml:space="preserve">(nosaukums, Vienot. </w:t>
            </w:r>
            <w:proofErr w:type="spellStart"/>
            <w:r>
              <w:rPr>
                <w:szCs w:val="22"/>
              </w:rPr>
              <w:t>Reģ</w:t>
            </w:r>
            <w:proofErr w:type="spellEnd"/>
            <w:r>
              <w:rPr>
                <w:szCs w:val="22"/>
              </w:rPr>
              <w:t>. Nr.,</w:t>
            </w:r>
          </w:p>
          <w:p w:rsidR="006F23AB" w:rsidRDefault="006F23AB" w:rsidP="007F6E1C">
            <w:pPr>
              <w:pStyle w:val="BodyText"/>
              <w:ind w:right="-2"/>
              <w:jc w:val="center"/>
              <w:rPr>
                <w:szCs w:val="22"/>
              </w:rPr>
            </w:pPr>
            <w:r>
              <w:rPr>
                <w:szCs w:val="22"/>
              </w:rPr>
              <w:t>adrese)</w:t>
            </w:r>
          </w:p>
        </w:tc>
        <w:tc>
          <w:tcPr>
            <w:tcW w:w="5258"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b/>
                <w:szCs w:val="22"/>
              </w:rPr>
            </w:pPr>
            <w:r>
              <w:rPr>
                <w:b/>
                <w:szCs w:val="22"/>
              </w:rPr>
              <w:t>Slēgt līgumu</w:t>
            </w:r>
          </w:p>
        </w:tc>
      </w:tr>
      <w:tr w:rsidR="006F23AB" w:rsidRPr="0049781B" w:rsidTr="006F23AB">
        <w:tc>
          <w:tcPr>
            <w:tcW w:w="720"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center"/>
              <w:rPr>
                <w:szCs w:val="22"/>
              </w:rPr>
            </w:pPr>
          </w:p>
          <w:p w:rsidR="006F23AB" w:rsidRDefault="006F23AB" w:rsidP="007F6E1C">
            <w:pPr>
              <w:pStyle w:val="BodyText"/>
              <w:ind w:right="-2"/>
              <w:jc w:val="left"/>
              <w:rPr>
                <w:szCs w:val="22"/>
              </w:rPr>
            </w:pPr>
            <w:r>
              <w:rPr>
                <w:szCs w:val="22"/>
              </w:rPr>
              <w:t xml:space="preserve"> 1.  </w:t>
            </w:r>
          </w:p>
          <w:p w:rsidR="006F23AB" w:rsidRDefault="006F23AB" w:rsidP="007F6E1C">
            <w:pPr>
              <w:pStyle w:val="BodyText"/>
              <w:ind w:right="-2"/>
              <w:jc w:val="center"/>
              <w:rPr>
                <w:szCs w:val="22"/>
              </w:rPr>
            </w:pPr>
          </w:p>
        </w:tc>
        <w:tc>
          <w:tcPr>
            <w:tcW w:w="3562" w:type="dxa"/>
            <w:tcBorders>
              <w:top w:val="single" w:sz="4" w:space="0" w:color="auto"/>
              <w:left w:val="single" w:sz="4" w:space="0" w:color="auto"/>
              <w:bottom w:val="single" w:sz="4" w:space="0" w:color="auto"/>
              <w:right w:val="single" w:sz="4" w:space="0" w:color="auto"/>
            </w:tcBorders>
          </w:tcPr>
          <w:p w:rsidR="006F23AB" w:rsidRDefault="006F23AB" w:rsidP="007F6E1C">
            <w:pPr>
              <w:pStyle w:val="BodyText"/>
              <w:ind w:right="-2"/>
              <w:jc w:val="left"/>
              <w:rPr>
                <w:b/>
                <w:bCs/>
                <w:color w:val="000000"/>
              </w:rPr>
            </w:pPr>
          </w:p>
          <w:p w:rsidR="006F23AB" w:rsidRDefault="006F23AB" w:rsidP="007F6E1C">
            <w:pPr>
              <w:pStyle w:val="BodyText"/>
              <w:ind w:right="-2"/>
              <w:jc w:val="left"/>
              <w:rPr>
                <w:color w:val="000000"/>
                <w:szCs w:val="22"/>
              </w:rPr>
            </w:pPr>
            <w:r>
              <w:rPr>
                <w:b/>
                <w:bCs/>
                <w:color w:val="000000"/>
              </w:rPr>
              <w:t>SIA “AJV grupa”</w:t>
            </w:r>
          </w:p>
        </w:tc>
        <w:tc>
          <w:tcPr>
            <w:tcW w:w="5258" w:type="dxa"/>
            <w:tcBorders>
              <w:top w:val="single" w:sz="4" w:space="0" w:color="auto"/>
              <w:left w:val="single" w:sz="4" w:space="0" w:color="auto"/>
              <w:bottom w:val="single" w:sz="4" w:space="0" w:color="auto"/>
              <w:right w:val="single" w:sz="4" w:space="0" w:color="auto"/>
            </w:tcBorders>
          </w:tcPr>
          <w:p w:rsidR="006F23AB" w:rsidRDefault="006F23AB" w:rsidP="006F23AB">
            <w:pPr>
              <w:pStyle w:val="BodyText"/>
              <w:ind w:right="-2"/>
              <w:jc w:val="center"/>
              <w:rPr>
                <w:b/>
              </w:rPr>
            </w:pPr>
            <w:r w:rsidRPr="00AF3C90">
              <w:rPr>
                <w:bCs/>
              </w:rPr>
              <w:t xml:space="preserve">uz 12 (divpadsmit) mēnešiem </w:t>
            </w:r>
            <w:r w:rsidRPr="00D55F29">
              <w:rPr>
                <w:bCs/>
              </w:rPr>
              <w:t>p</w:t>
            </w:r>
            <w:r w:rsidRPr="00D55F29">
              <w:rPr>
                <w:bCs/>
                <w:color w:val="000000"/>
                <w:szCs w:val="22"/>
              </w:rPr>
              <w:t>ar</w:t>
            </w:r>
            <w:r w:rsidRPr="00D55F29">
              <w:rPr>
                <w:bCs/>
                <w:color w:val="000000"/>
              </w:rPr>
              <w:t xml:space="preserve"> </w:t>
            </w:r>
            <w:r w:rsidRPr="00D55F29">
              <w:t>piedāvāt</w:t>
            </w:r>
            <w:r>
              <w:t>ajām</w:t>
            </w:r>
            <w:r w:rsidRPr="00D55F29">
              <w:t xml:space="preserve"> </w:t>
            </w:r>
            <w:r>
              <w:t>vienību cenām</w:t>
            </w:r>
            <w:r w:rsidRPr="00D55F29">
              <w:t xml:space="preserve"> </w:t>
            </w:r>
            <w:r w:rsidRPr="00AF3C90">
              <w:rPr>
                <w:color w:val="000000"/>
              </w:rPr>
              <w:t xml:space="preserve">vai līdz plānotās </w:t>
            </w:r>
            <w:r w:rsidRPr="00AF3C90">
              <w:t xml:space="preserve">līgumcenas </w:t>
            </w:r>
            <w:r w:rsidRPr="00AF3C90">
              <w:rPr>
                <w:i/>
                <w:iCs/>
                <w:color w:val="000000"/>
              </w:rPr>
              <w:t>EUR</w:t>
            </w:r>
            <w:r>
              <w:rPr>
                <w:color w:val="000000"/>
              </w:rPr>
              <w:t xml:space="preserve"> </w:t>
            </w:r>
            <w:r>
              <w:t>46 388,43</w:t>
            </w:r>
            <w:r w:rsidRPr="00AF3C90">
              <w:rPr>
                <w:color w:val="000000"/>
              </w:rPr>
              <w:t xml:space="preserve"> bez PVN 21% pilnīgai apguvei,</w:t>
            </w:r>
            <w:r>
              <w:rPr>
                <w:color w:val="000000"/>
              </w:rPr>
              <w:t xml:space="preserve"> atkarībā no tā, kurš no nosacījumiem iestājas pirmais</w:t>
            </w:r>
          </w:p>
        </w:tc>
      </w:tr>
    </w:tbl>
    <w:p w:rsidR="0049781B" w:rsidRPr="0049781B" w:rsidRDefault="0049781B" w:rsidP="0049781B">
      <w:pPr>
        <w:ind w:left="360" w:right="-2"/>
        <w:jc w:val="both"/>
        <w:rPr>
          <w:lang w:val="lv-LV"/>
        </w:rPr>
      </w:pPr>
    </w:p>
    <w:p w:rsidR="0049781B" w:rsidRPr="0049781B" w:rsidRDefault="0049781B" w:rsidP="0049781B">
      <w:pPr>
        <w:ind w:left="360" w:right="-2"/>
        <w:jc w:val="both"/>
        <w:rPr>
          <w:lang w:val="lv-LV"/>
        </w:rPr>
      </w:pPr>
      <w:r>
        <w:rPr>
          <w:b/>
          <w:lang w:val="lv-LV"/>
        </w:rPr>
        <w:t xml:space="preserve">9.1. </w:t>
      </w:r>
      <w:r w:rsidRPr="0049781B">
        <w:rPr>
          <w:b/>
          <w:lang w:val="lv-LV"/>
        </w:rPr>
        <w:t>Piedāvājumu izvērtēšanas kopsavilkums:</w:t>
      </w:r>
      <w:r w:rsidRPr="0049781B">
        <w:rPr>
          <w:lang w:val="lv-LV"/>
        </w:rPr>
        <w:t xml:space="preserve"> Iepirkuma komisija veica pretendent</w:t>
      </w:r>
      <w:r>
        <w:rPr>
          <w:lang w:val="lv-LV"/>
        </w:rPr>
        <w:t>a</w:t>
      </w:r>
      <w:r w:rsidRPr="0049781B">
        <w:rPr>
          <w:lang w:val="lv-LV"/>
        </w:rPr>
        <w:t xml:space="preserve">  iesniegt</w:t>
      </w:r>
      <w:r>
        <w:rPr>
          <w:lang w:val="lv-LV"/>
        </w:rPr>
        <w:t>ā</w:t>
      </w:r>
      <w:r w:rsidRPr="0049781B">
        <w:rPr>
          <w:lang w:val="lv-LV"/>
        </w:rPr>
        <w:t xml:space="preserve"> piedāvājum</w:t>
      </w:r>
      <w:r>
        <w:rPr>
          <w:lang w:val="lv-LV"/>
        </w:rPr>
        <w:t>a</w:t>
      </w:r>
      <w:r w:rsidRPr="0049781B">
        <w:rPr>
          <w:lang w:val="lv-LV"/>
        </w:rPr>
        <w:t xml:space="preserve"> pārbaudi saskaņā ar publiskā iepirkuma nolikuma prasībām secīgi šādos posmos: </w:t>
      </w:r>
    </w:p>
    <w:p w:rsidR="0049781B" w:rsidRDefault="0049781B" w:rsidP="0049781B">
      <w:pPr>
        <w:pStyle w:val="ListParagraph"/>
        <w:numPr>
          <w:ilvl w:val="0"/>
          <w:numId w:val="4"/>
        </w:numPr>
        <w:ind w:left="709" w:right="-2" w:hanging="283"/>
        <w:jc w:val="both"/>
        <w:rPr>
          <w:lang w:val="lv-LV"/>
        </w:rPr>
      </w:pPr>
      <w:r w:rsidRPr="002B158C">
        <w:rPr>
          <w:lang w:val="lv-LV"/>
        </w:rPr>
        <w:t>P</w:t>
      </w:r>
      <w:r>
        <w:rPr>
          <w:lang w:val="lv-LV"/>
        </w:rPr>
        <w:t>retendenta</w:t>
      </w:r>
      <w:r w:rsidRPr="002B158C">
        <w:rPr>
          <w:lang w:val="lv-LV"/>
        </w:rPr>
        <w:t xml:space="preserve"> iesniegt</w:t>
      </w:r>
      <w:r>
        <w:rPr>
          <w:lang w:val="lv-LV"/>
        </w:rPr>
        <w:t>ā</w:t>
      </w:r>
      <w:r w:rsidRPr="002B158C">
        <w:rPr>
          <w:lang w:val="lv-LV"/>
        </w:rPr>
        <w:t xml:space="preserve"> piedāvājum</w:t>
      </w:r>
      <w:r>
        <w:rPr>
          <w:lang w:val="lv-LV"/>
        </w:rPr>
        <w:t>a</w:t>
      </w:r>
      <w:r w:rsidRPr="002B158C">
        <w:rPr>
          <w:lang w:val="lv-LV"/>
        </w:rPr>
        <w:t xml:space="preserve"> atbilstības pārbaude attiecībā uz piedāvājuma nofo</w:t>
      </w:r>
      <w:r>
        <w:rPr>
          <w:lang w:val="lv-LV"/>
        </w:rPr>
        <w:t>rmējumu, pieteikuma dalībai iepirkuma procedūrā</w:t>
      </w:r>
      <w:r w:rsidRPr="002B158C">
        <w:rPr>
          <w:lang w:val="lv-LV"/>
        </w:rPr>
        <w:t xml:space="preserve">; </w:t>
      </w:r>
    </w:p>
    <w:p w:rsidR="0049781B" w:rsidRPr="002B158C" w:rsidRDefault="0049781B" w:rsidP="0049781B">
      <w:pPr>
        <w:pStyle w:val="ListParagraph"/>
        <w:numPr>
          <w:ilvl w:val="0"/>
          <w:numId w:val="4"/>
        </w:numPr>
        <w:ind w:left="709" w:right="-2" w:hanging="283"/>
        <w:jc w:val="both"/>
        <w:rPr>
          <w:lang w:val="lv-LV"/>
        </w:rPr>
      </w:pPr>
      <w:r w:rsidRPr="002B158C">
        <w:rPr>
          <w:lang w:val="lv-LV"/>
        </w:rPr>
        <w:t>Pretendent</w:t>
      </w:r>
      <w:r>
        <w:rPr>
          <w:lang w:val="lv-LV"/>
        </w:rPr>
        <w:t xml:space="preserve">a </w:t>
      </w:r>
      <w:r w:rsidRPr="002B158C">
        <w:rPr>
          <w:lang w:val="lv-LV"/>
        </w:rPr>
        <w:t>iesniegt</w:t>
      </w:r>
      <w:r>
        <w:rPr>
          <w:lang w:val="lv-LV"/>
        </w:rPr>
        <w:t>ā</w:t>
      </w:r>
      <w:r w:rsidRPr="002B158C">
        <w:rPr>
          <w:lang w:val="lv-LV"/>
        </w:rPr>
        <w:t xml:space="preserve"> </w:t>
      </w:r>
      <w:r>
        <w:rPr>
          <w:lang w:val="lv-LV"/>
        </w:rPr>
        <w:t>piedāvājuma nodrošinājuma</w:t>
      </w:r>
      <w:r w:rsidRPr="002B158C">
        <w:rPr>
          <w:lang w:val="lv-LV"/>
        </w:rPr>
        <w:t xml:space="preserve"> atbilstības pārbaude</w:t>
      </w:r>
      <w:r>
        <w:rPr>
          <w:lang w:val="lv-LV"/>
        </w:rPr>
        <w:t xml:space="preserve"> (Nolikuma </w:t>
      </w:r>
      <w:r>
        <w:rPr>
          <w:lang w:val="lv-LV"/>
        </w:rPr>
        <w:t>8.3</w:t>
      </w:r>
      <w:r>
        <w:rPr>
          <w:lang w:val="lv-LV"/>
        </w:rPr>
        <w:t>.apakšpunkts)</w:t>
      </w:r>
      <w:r w:rsidRPr="002B158C">
        <w:rPr>
          <w:lang w:val="lv-LV"/>
        </w:rPr>
        <w:t>;</w:t>
      </w:r>
    </w:p>
    <w:p w:rsidR="0049781B" w:rsidRPr="002B158C" w:rsidRDefault="0049781B" w:rsidP="0049781B">
      <w:pPr>
        <w:pStyle w:val="ListParagraph"/>
        <w:numPr>
          <w:ilvl w:val="0"/>
          <w:numId w:val="4"/>
        </w:numPr>
        <w:ind w:left="709" w:right="-2" w:hanging="283"/>
        <w:jc w:val="both"/>
        <w:rPr>
          <w:lang w:val="lv-LV"/>
        </w:rPr>
      </w:pPr>
      <w:r>
        <w:rPr>
          <w:lang w:val="lv-LV"/>
        </w:rPr>
        <w:t>Pretendenta</w:t>
      </w:r>
      <w:r>
        <w:rPr>
          <w:lang w:val="lv-LV"/>
        </w:rPr>
        <w:t xml:space="preserve"> </w:t>
      </w:r>
      <w:r w:rsidRPr="002B158C">
        <w:rPr>
          <w:lang w:val="lv-LV"/>
        </w:rPr>
        <w:t>iesniegt</w:t>
      </w:r>
      <w:r>
        <w:rPr>
          <w:lang w:val="lv-LV"/>
        </w:rPr>
        <w:t>ā</w:t>
      </w:r>
      <w:r w:rsidRPr="002B158C">
        <w:rPr>
          <w:lang w:val="lv-LV"/>
        </w:rPr>
        <w:t xml:space="preserve"> piedāvājum</w:t>
      </w:r>
      <w:r>
        <w:rPr>
          <w:lang w:val="lv-LV"/>
        </w:rPr>
        <w:t>a</w:t>
      </w:r>
      <w:r w:rsidRPr="002B158C">
        <w:rPr>
          <w:lang w:val="lv-LV"/>
        </w:rPr>
        <w:t xml:space="preserve"> at</w:t>
      </w:r>
      <w:r>
        <w:rPr>
          <w:lang w:val="lv-LV"/>
        </w:rPr>
        <w:t xml:space="preserve">bilstības pārbaude attiecībā uz </w:t>
      </w:r>
      <w:r w:rsidRPr="002B158C">
        <w:rPr>
          <w:lang w:val="lv-LV"/>
        </w:rPr>
        <w:t>kvalifikācijas prasībām</w:t>
      </w:r>
      <w:r>
        <w:rPr>
          <w:lang w:val="lv-LV"/>
        </w:rPr>
        <w:t xml:space="preserve"> (Nolikuma </w:t>
      </w:r>
      <w:r>
        <w:rPr>
          <w:lang w:val="lv-LV"/>
        </w:rPr>
        <w:t>3</w:t>
      </w:r>
      <w:r>
        <w:rPr>
          <w:lang w:val="lv-LV"/>
        </w:rPr>
        <w:t>.pielikums)</w:t>
      </w:r>
      <w:r w:rsidRPr="002B158C">
        <w:rPr>
          <w:lang w:val="lv-LV"/>
        </w:rPr>
        <w:t xml:space="preserve">;  </w:t>
      </w:r>
    </w:p>
    <w:p w:rsidR="0049781B" w:rsidRPr="002B158C" w:rsidRDefault="0049781B" w:rsidP="0049781B">
      <w:pPr>
        <w:pStyle w:val="ListParagraph"/>
        <w:numPr>
          <w:ilvl w:val="0"/>
          <w:numId w:val="4"/>
        </w:numPr>
        <w:ind w:left="709" w:right="-2" w:hanging="283"/>
        <w:jc w:val="both"/>
        <w:rPr>
          <w:lang w:val="lv-LV"/>
        </w:rPr>
      </w:pPr>
      <w:r w:rsidRPr="002B158C">
        <w:rPr>
          <w:lang w:val="lv-LV"/>
        </w:rPr>
        <w:t>Pretendent</w:t>
      </w:r>
      <w:r>
        <w:rPr>
          <w:lang w:val="lv-LV"/>
        </w:rPr>
        <w:t>a</w:t>
      </w:r>
      <w:r>
        <w:rPr>
          <w:lang w:val="lv-LV"/>
        </w:rPr>
        <w:t xml:space="preserve"> </w:t>
      </w:r>
      <w:r w:rsidRPr="002B158C">
        <w:rPr>
          <w:lang w:val="lv-LV"/>
        </w:rPr>
        <w:t>iesniegt</w:t>
      </w:r>
      <w:r>
        <w:rPr>
          <w:lang w:val="lv-LV"/>
        </w:rPr>
        <w:t>ā</w:t>
      </w:r>
      <w:r w:rsidRPr="002B158C">
        <w:rPr>
          <w:lang w:val="lv-LV"/>
        </w:rPr>
        <w:t xml:space="preserve"> Tehnisk</w:t>
      </w:r>
      <w:r>
        <w:rPr>
          <w:lang w:val="lv-LV"/>
        </w:rPr>
        <w:t>ā</w:t>
      </w:r>
      <w:r w:rsidRPr="002B158C">
        <w:rPr>
          <w:lang w:val="lv-LV"/>
        </w:rPr>
        <w:t xml:space="preserve"> piedāvājum</w:t>
      </w:r>
      <w:r>
        <w:rPr>
          <w:lang w:val="lv-LV"/>
        </w:rPr>
        <w:t>a</w:t>
      </w:r>
      <w:r w:rsidRPr="002B158C">
        <w:rPr>
          <w:lang w:val="lv-LV"/>
        </w:rPr>
        <w:t xml:space="preserve"> atbilstības pārbaude</w:t>
      </w:r>
      <w:r>
        <w:rPr>
          <w:lang w:val="lv-LV"/>
        </w:rPr>
        <w:t xml:space="preserve"> (</w:t>
      </w:r>
      <w:r w:rsidR="00F63CCD">
        <w:rPr>
          <w:lang w:val="lv-LV"/>
        </w:rPr>
        <w:t xml:space="preserve">Nolikuma 3.pielikums, </w:t>
      </w:r>
      <w:r>
        <w:rPr>
          <w:lang w:val="lv-LV"/>
        </w:rPr>
        <w:t xml:space="preserve">Nolikuma </w:t>
      </w:r>
      <w:r>
        <w:rPr>
          <w:lang w:val="lv-LV"/>
        </w:rPr>
        <w:t>8.7</w:t>
      </w:r>
      <w:r>
        <w:rPr>
          <w:lang w:val="lv-LV"/>
        </w:rPr>
        <w:t>.apakšpunkts)</w:t>
      </w:r>
      <w:r w:rsidRPr="002B158C">
        <w:rPr>
          <w:lang w:val="lv-LV"/>
        </w:rPr>
        <w:t>;</w:t>
      </w:r>
    </w:p>
    <w:p w:rsidR="0049781B" w:rsidRDefault="0049781B" w:rsidP="0049781B">
      <w:pPr>
        <w:pStyle w:val="ListParagraph"/>
        <w:numPr>
          <w:ilvl w:val="0"/>
          <w:numId w:val="4"/>
        </w:numPr>
        <w:ind w:left="709" w:right="-2" w:hanging="283"/>
        <w:jc w:val="both"/>
        <w:rPr>
          <w:lang w:val="lv-LV"/>
        </w:rPr>
      </w:pPr>
      <w:r w:rsidRPr="002B158C">
        <w:rPr>
          <w:lang w:val="lv-LV"/>
        </w:rPr>
        <w:t>Pretendent</w:t>
      </w:r>
      <w:r>
        <w:rPr>
          <w:lang w:val="lv-LV"/>
        </w:rPr>
        <w:t xml:space="preserve">u </w:t>
      </w:r>
      <w:r w:rsidRPr="002B158C">
        <w:rPr>
          <w:lang w:val="lv-LV"/>
        </w:rPr>
        <w:t>iesniegt</w:t>
      </w:r>
      <w:r>
        <w:rPr>
          <w:lang w:val="lv-LV"/>
        </w:rPr>
        <w:t>o</w:t>
      </w:r>
      <w:r w:rsidRPr="002B158C">
        <w:rPr>
          <w:lang w:val="lv-LV"/>
        </w:rPr>
        <w:t xml:space="preserve"> Finanšu piedāvājumu atbilstības pārbaude</w:t>
      </w:r>
      <w:r>
        <w:rPr>
          <w:lang w:val="lv-LV"/>
        </w:rPr>
        <w:t xml:space="preserve"> (Nolikuma </w:t>
      </w:r>
      <w:r w:rsidR="00F63CCD">
        <w:rPr>
          <w:lang w:val="lv-LV"/>
        </w:rPr>
        <w:t>2</w:t>
      </w:r>
      <w:r>
        <w:rPr>
          <w:lang w:val="lv-LV"/>
        </w:rPr>
        <w:t>.pielikums, Nolikuma 8</w:t>
      </w:r>
      <w:r>
        <w:rPr>
          <w:lang w:val="lv-LV"/>
        </w:rPr>
        <w:t>.5</w:t>
      </w:r>
      <w:r>
        <w:rPr>
          <w:lang w:val="lv-LV"/>
        </w:rPr>
        <w:t>.</w:t>
      </w:r>
      <w:r>
        <w:rPr>
          <w:lang w:val="lv-LV"/>
        </w:rPr>
        <w:t>apakš</w:t>
      </w:r>
      <w:r>
        <w:rPr>
          <w:lang w:val="lv-LV"/>
        </w:rPr>
        <w:t>punkts)</w:t>
      </w:r>
      <w:r w:rsidRPr="002B158C">
        <w:rPr>
          <w:lang w:val="lv-LV"/>
        </w:rPr>
        <w:t>;</w:t>
      </w:r>
    </w:p>
    <w:p w:rsidR="0049781B" w:rsidRPr="00264778" w:rsidRDefault="0049781B" w:rsidP="0049781B">
      <w:pPr>
        <w:pStyle w:val="ListParagraph"/>
        <w:numPr>
          <w:ilvl w:val="0"/>
          <w:numId w:val="4"/>
        </w:numPr>
        <w:ind w:left="709" w:right="-2" w:hanging="283"/>
        <w:jc w:val="both"/>
        <w:rPr>
          <w:lang w:val="lv-LV"/>
        </w:rPr>
      </w:pPr>
      <w:r w:rsidRPr="00264778">
        <w:rPr>
          <w:lang w:val="lv-LV"/>
        </w:rPr>
        <w:t>Pirms lēmuma par līguma slēgšanu pieņemšanas iepirkuma komisija veic pārbaudi, vai attiecībā uz pretendentu, kuram būtu piešķiramas līguma slēgšanas tiesības</w:t>
      </w:r>
      <w:r>
        <w:rPr>
          <w:lang w:val="lv-LV"/>
        </w:rPr>
        <w:t>,</w:t>
      </w:r>
      <w:r w:rsidRPr="00264778">
        <w:rPr>
          <w:lang w:val="lv-LV"/>
        </w:rPr>
        <w:t xml:space="preserve"> nepastāv Publisko iepirkumu likuma 42.panta pirmās daļas 1., 2., 3., 4., 5., 6., 7., 8.punktā minētie izslēgšanas nosacījumi </w:t>
      </w:r>
      <w:r w:rsidR="00F63CCD">
        <w:rPr>
          <w:lang w:val="lv-LV"/>
        </w:rPr>
        <w:t xml:space="preserve">(Nolikuma </w:t>
      </w:r>
      <w:r>
        <w:rPr>
          <w:lang w:val="lv-LV"/>
        </w:rPr>
        <w:t>9.punkts).</w:t>
      </w:r>
    </w:p>
    <w:p w:rsidR="0049781B" w:rsidRPr="00F63CCD" w:rsidRDefault="00F63CCD" w:rsidP="00F63CCD">
      <w:pPr>
        <w:ind w:left="284" w:right="-2"/>
        <w:jc w:val="both"/>
        <w:rPr>
          <w:bCs/>
          <w:color w:val="000000"/>
          <w:lang w:val="lv-LV"/>
        </w:rPr>
      </w:pPr>
      <w:r w:rsidRPr="00F63CCD">
        <w:rPr>
          <w:b/>
          <w:color w:val="000000"/>
          <w:lang w:val="lv-LV"/>
        </w:rPr>
        <w:t>9.2.</w:t>
      </w:r>
      <w:r>
        <w:rPr>
          <w:color w:val="000000"/>
          <w:lang w:val="lv-LV"/>
        </w:rPr>
        <w:t xml:space="preserve"> </w:t>
      </w:r>
      <w:r w:rsidR="0049781B" w:rsidRPr="00F63CCD">
        <w:rPr>
          <w:b/>
          <w:color w:val="000000"/>
          <w:lang w:val="lv-LV"/>
        </w:rPr>
        <w:t>Pamatojums piedāvājuma izvēlei:</w:t>
      </w:r>
      <w:r w:rsidR="0049781B" w:rsidRPr="00F63CCD">
        <w:rPr>
          <w:b/>
          <w:bCs/>
          <w:color w:val="000000"/>
          <w:lang w:val="lv-LV"/>
        </w:rPr>
        <w:t xml:space="preserve"> </w:t>
      </w:r>
      <w:r w:rsidR="0049781B" w:rsidRPr="00F63CCD">
        <w:rPr>
          <w:bCs/>
          <w:color w:val="000000"/>
          <w:lang w:val="lv-LV"/>
        </w:rPr>
        <w:t xml:space="preserve">saimnieciski visizdevīgākais piedāvājums, kas noteikts, ņemot vērā piedāvāto līgumcenu, </w:t>
      </w:r>
      <w:r w:rsidR="0049781B" w:rsidRPr="00F63CCD">
        <w:rPr>
          <w:bCs/>
          <w:lang w:val="lv-LV"/>
        </w:rPr>
        <w:t>un</w:t>
      </w:r>
      <w:r w:rsidR="0049781B" w:rsidRPr="00F63CCD">
        <w:rPr>
          <w:bCs/>
          <w:color w:val="000000"/>
          <w:lang w:val="lv-LV"/>
        </w:rPr>
        <w:t>,</w:t>
      </w:r>
      <w:r w:rsidR="0049781B" w:rsidRPr="00F63CCD">
        <w:rPr>
          <w:b/>
          <w:color w:val="000000"/>
          <w:lang w:val="lv-LV"/>
        </w:rPr>
        <w:t xml:space="preserve"> </w:t>
      </w:r>
      <w:r w:rsidR="0049781B" w:rsidRPr="00F63CCD">
        <w:rPr>
          <w:bCs/>
          <w:color w:val="000000"/>
          <w:lang w:val="lv-LV"/>
        </w:rPr>
        <w:t>kas atbilst atklātā konkursa nolikuma (turpmāk – Nolikums) prasībām.</w:t>
      </w:r>
    </w:p>
    <w:p w:rsidR="006F23AB" w:rsidRDefault="006F23AB" w:rsidP="006F23AB">
      <w:pPr>
        <w:ind w:right="-2" w:firstLine="720"/>
        <w:jc w:val="both"/>
        <w:rPr>
          <w:bCs/>
          <w:lang w:val="lv-LV"/>
        </w:rPr>
      </w:pPr>
      <w:r w:rsidRPr="00FC291E">
        <w:rPr>
          <w:b/>
          <w:lang w:val="lv-LV"/>
        </w:rPr>
        <w:t xml:space="preserve">10. </w:t>
      </w:r>
      <w:r w:rsidRPr="00304AD9">
        <w:rPr>
          <w:b/>
          <w:lang w:val="lv-LV"/>
        </w:rPr>
        <w:t>Informācija</w:t>
      </w:r>
      <w:r w:rsidRPr="00304AD9">
        <w:rPr>
          <w:b/>
          <w:bCs/>
          <w:lang w:val="lv-LV"/>
        </w:rPr>
        <w:t xml:space="preserve"> (ja tā ir zināma) par to iepirkuma līguma vai vispārīgās vienošanās daļu, kuru izraudzītais pretendents plānojis nodot apakšuzņēmējiem, kā arī apakšuzņēmēju nosaukumi: </w:t>
      </w:r>
      <w:r>
        <w:rPr>
          <w:bCs/>
          <w:lang w:val="lv-LV"/>
        </w:rPr>
        <w:t>Nav.</w:t>
      </w:r>
    </w:p>
    <w:p w:rsidR="006F23AB" w:rsidRDefault="006F23AB" w:rsidP="006F23AB">
      <w:pPr>
        <w:ind w:right="-2" w:firstLine="720"/>
        <w:jc w:val="both"/>
        <w:rPr>
          <w:b/>
          <w:bCs/>
          <w:lang w:val="lv-LV"/>
        </w:rPr>
      </w:pPr>
      <w:r>
        <w:rPr>
          <w:b/>
          <w:bCs/>
          <w:color w:val="000000"/>
          <w:lang w:val="lv-LV"/>
        </w:rPr>
        <w:t xml:space="preserve">11. </w:t>
      </w:r>
      <w:r w:rsidRPr="002B158C">
        <w:rPr>
          <w:b/>
          <w:bCs/>
          <w:color w:val="000000"/>
          <w:lang w:val="lv-LV"/>
        </w:rPr>
        <w:t>Pamatojums iepirkuma procedūras nepārtraukšanai, ja piedāvājumu iesniedzis tikai viens piegādātājs</w:t>
      </w:r>
      <w:r w:rsidRPr="002B158C">
        <w:rPr>
          <w:b/>
          <w:bCs/>
          <w:lang w:val="lv-LV"/>
        </w:rPr>
        <w:t>:</w:t>
      </w:r>
    </w:p>
    <w:p w:rsidR="00FF35BD" w:rsidRDefault="00FF35BD" w:rsidP="00FF35BD">
      <w:pPr>
        <w:ind w:right="-285" w:firstLine="720"/>
        <w:jc w:val="both"/>
        <w:rPr>
          <w:color w:val="000000"/>
          <w:lang w:val="lv-LV"/>
        </w:rPr>
      </w:pPr>
      <w:r>
        <w:rPr>
          <w:color w:val="000000"/>
          <w:lang w:val="lv-LV"/>
        </w:rPr>
        <w:t xml:space="preserve">1. Nolikumā izvirzītās prasības </w:t>
      </w:r>
      <w:r>
        <w:rPr>
          <w:color w:val="000000"/>
          <w:u w:val="single"/>
          <w:lang w:val="lv-LV"/>
        </w:rPr>
        <w:t>ir objektīvas un samērīgas, nepamatoti neierobežo piegādātāju konkurenci, jo tās ir noteiktas samērīgi līguma priekšmetam, proti, objektīvi nepieciešamas iepirkuma līguma izpildei,</w:t>
      </w:r>
      <w:r>
        <w:rPr>
          <w:color w:val="000000"/>
          <w:lang w:val="lv-LV"/>
        </w:rPr>
        <w:t xml:space="preserve"> jo </w:t>
      </w:r>
      <w:r>
        <w:rPr>
          <w:color w:val="000000"/>
          <w:lang w:val="lv-LV" w:eastAsia="lv-LV"/>
        </w:rPr>
        <w:t>apliecina piegādātāja spēju kvalitatīvi nodrošināt pakalpojuma izpildi, kā arī tam ir pieejama atbilstoša tehnika, bāze un attiecīgais personāls.</w:t>
      </w:r>
    </w:p>
    <w:p w:rsidR="00FF35BD" w:rsidRDefault="00FF35BD" w:rsidP="00FF35BD">
      <w:pPr>
        <w:ind w:right="-285" w:firstLine="720"/>
        <w:jc w:val="both"/>
        <w:rPr>
          <w:color w:val="000000"/>
          <w:lang w:val="lv-LV"/>
        </w:rPr>
      </w:pPr>
      <w:r>
        <w:rPr>
          <w:color w:val="000000"/>
          <w:lang w:val="lv-LV"/>
        </w:rPr>
        <w:t>1.1. PIL 44.pants. Atbilstība profesionālās darbības veikšanai. Prasība par pretendentu atbilstību profesionālās darbības veikšanai ir samērīga un atbilst Publisko iepirkumu likuma 44.panta prasībām;</w:t>
      </w:r>
    </w:p>
    <w:p w:rsidR="00FF35BD" w:rsidRDefault="00FF35BD" w:rsidP="00FF35BD">
      <w:pPr>
        <w:pStyle w:val="Default"/>
        <w:ind w:right="-285" w:firstLine="720"/>
        <w:jc w:val="both"/>
      </w:pPr>
      <w:r>
        <w:t>1.2. PIL 45.pants. Saimnieciskais un finansiālais stāvoklis. Tika prasīts vidējais gada finanšu apgrozījums iepirkuma priekšmetam pakalpojumu sniegšanā iepriekšējos 3 (trīs) finanšu gados, kas ir ne mazāks par 200% no piedāvājuma cenas bez PVN. Tika prasīts piedāvājuma nodrošinājums EUR 920,00 apmērā un tam jābūt spēkā līdz 2018.gada 16.aprīlim;</w:t>
      </w:r>
    </w:p>
    <w:p w:rsidR="00FF35BD" w:rsidRPr="00934E41" w:rsidRDefault="00FF35BD" w:rsidP="00FF35BD">
      <w:pPr>
        <w:pStyle w:val="ListParagraph"/>
        <w:ind w:left="0" w:right="-285" w:firstLine="720"/>
        <w:jc w:val="both"/>
        <w:rPr>
          <w:lang w:val="lv-LV"/>
        </w:rPr>
      </w:pPr>
      <w:r>
        <w:t xml:space="preserve">1.3. PIL 46.pants. </w:t>
      </w:r>
      <w:r w:rsidRPr="00934E41">
        <w:rPr>
          <w:lang w:val="lv-LV"/>
        </w:rPr>
        <w:t xml:space="preserve">Tehniskās un profesionālās spējas. Prasība par pretendenta atbilstību tehniskām un profesionālajām spējām ir samērīga un atbilst Publisko iepirkumu likuma 46.panta trešās daļas 2.punkta prasībām. Tikai viena piedāvājuma saņemšana ir saistīta ar nelielo konkurenci skatuves podestu, jumta konstrukciju komplektu, gaismu un skaņas aparatūras nomas pakalpojumu tirgū, jo pārsvarā piegādātāji sniedz šādus pakalpojumus katrs savā reģionā (pilsētā). Faktiski Jēkabpilī un tās reģionā konkrētais piegādātājs ir vienīgais, kas sniedz šāda veida pakalpojumus un atbilst pasūtītāja noteiktajām atlases prasībām, piegādātāji no citām pilsētām un reģioniem konkrētā iepirkuma procedūrā nav iesnieguši pieteikumus vai piedāvājumus nevis atlases prasību, bet citu </w:t>
      </w:r>
      <w:r w:rsidRPr="00934E41">
        <w:rPr>
          <w:lang w:val="lv-LV"/>
        </w:rPr>
        <w:lastRenderedPageBreak/>
        <w:t>iemeslu dēļ, piemēram, tādēļ, ka tie nav ieinteresēti iegūt konkrētā līguma slēgšanas tiesības iepirkuma apjoma dēļ, attāluma dēļ, vai tādēļ, ka ir aizņemti līdzīgu līgumu izpildē konkrētajā laika periodā.</w:t>
      </w:r>
    </w:p>
    <w:p w:rsidR="00FF35BD" w:rsidRDefault="00FF35BD" w:rsidP="00FF35BD">
      <w:pPr>
        <w:pStyle w:val="Default"/>
        <w:ind w:right="-285" w:firstLine="720"/>
        <w:jc w:val="both"/>
      </w:pPr>
      <w:r>
        <w:t xml:space="preserve">1.3.1. Ņemot vērā to, ka paredzamā līgumcena ir EUR 46388,43 un iepirkuma līgums tiek slēgts uz 12 (divpadsmit) mēnešiem, piegādātājiem prasītā pieredze iepriekšējo trīs gadu laikā – ne mazāk kā </w:t>
      </w:r>
      <w:r w:rsidR="00934E41">
        <w:t xml:space="preserve">3 </w:t>
      </w:r>
      <w:r>
        <w:t>(</w:t>
      </w:r>
      <w:r w:rsidR="00934E41">
        <w:t>trīs</w:t>
      </w:r>
      <w:r>
        <w:t xml:space="preserve">) līdzīga rakstura – skaņas aparatūras, </w:t>
      </w:r>
      <w:r w:rsidR="00934E41">
        <w:t>gaismu tehnikas,</w:t>
      </w:r>
      <w:r>
        <w:t xml:space="preserve"> skatuves konstrukciju montāžas un apkalpošanas pakalpojumu sniegšana - ir objektīva un samērīga un nerada nepamatotus (nesamērīgus) ierobežojumus dalībai iepirkuma procedūrā.</w:t>
      </w:r>
    </w:p>
    <w:p w:rsidR="00FF35BD" w:rsidRDefault="00934E41" w:rsidP="00FF35BD">
      <w:pPr>
        <w:ind w:right="-285" w:firstLine="720"/>
        <w:jc w:val="both"/>
        <w:rPr>
          <w:color w:val="000000"/>
          <w:lang w:val="lv-LV"/>
        </w:rPr>
      </w:pPr>
      <w:r>
        <w:rPr>
          <w:color w:val="000000"/>
          <w:lang w:val="lv-LV"/>
        </w:rPr>
        <w:t>1.4. PIL 47</w:t>
      </w:r>
      <w:r w:rsidR="00FF35BD">
        <w:rPr>
          <w:color w:val="000000"/>
          <w:lang w:val="lv-LV"/>
        </w:rPr>
        <w:t>.pants. Kvalitātes nodrošināšanas standarti. Prasības netika izvirzītas;</w:t>
      </w:r>
    </w:p>
    <w:p w:rsidR="00FF35BD" w:rsidRDefault="00FF35BD" w:rsidP="00FF35BD">
      <w:pPr>
        <w:ind w:right="-285" w:firstLine="720"/>
        <w:jc w:val="both"/>
        <w:rPr>
          <w:color w:val="000000"/>
          <w:lang w:val="lv-LV"/>
        </w:rPr>
      </w:pPr>
      <w:r>
        <w:rPr>
          <w:color w:val="000000"/>
          <w:lang w:val="lv-LV"/>
        </w:rPr>
        <w:t>1.5. PIL 4</w:t>
      </w:r>
      <w:r w:rsidR="00934E41">
        <w:rPr>
          <w:color w:val="000000"/>
          <w:lang w:val="lv-LV"/>
        </w:rPr>
        <w:t>8</w:t>
      </w:r>
      <w:r>
        <w:rPr>
          <w:color w:val="000000"/>
          <w:lang w:val="lv-LV"/>
        </w:rPr>
        <w:t>.pants. Vides vadības standarti. Prasības netika izvirzītas.</w:t>
      </w:r>
    </w:p>
    <w:p w:rsidR="00FF35BD" w:rsidRDefault="00FF35BD" w:rsidP="00FF35BD">
      <w:pPr>
        <w:ind w:right="-285" w:firstLine="720"/>
        <w:jc w:val="both"/>
        <w:rPr>
          <w:color w:val="FF0000"/>
          <w:lang w:val="lv-LV"/>
        </w:rPr>
      </w:pPr>
      <w:r>
        <w:rPr>
          <w:color w:val="000000"/>
          <w:lang w:val="lv-LV"/>
        </w:rPr>
        <w:t>2. Neviens ieinteresētais piegādātājs nav apstrīdējis Nolikumā ietvertās prasības.</w:t>
      </w:r>
    </w:p>
    <w:p w:rsidR="00934E41" w:rsidRDefault="00934E41" w:rsidP="00FF35BD">
      <w:pPr>
        <w:ind w:right="-285" w:firstLine="720"/>
        <w:jc w:val="both"/>
        <w:rPr>
          <w:lang w:val="lv-LV"/>
        </w:rPr>
      </w:pPr>
    </w:p>
    <w:p w:rsidR="00934E41" w:rsidRDefault="00934E41" w:rsidP="00934E41">
      <w:pPr>
        <w:ind w:firstLine="720"/>
        <w:jc w:val="both"/>
        <w:rPr>
          <w:lang w:val="lv-LV"/>
        </w:rPr>
      </w:pPr>
      <w:r w:rsidRPr="00F147A9">
        <w:rPr>
          <w:lang w:val="lv-LV"/>
        </w:rPr>
        <w:t xml:space="preserve">Ņemot vērā apstākļus, ka iepirkuma procedūra bija atklāta un izvirzītās atlases prasības ir </w:t>
      </w:r>
      <w:r>
        <w:rPr>
          <w:lang w:val="lv-LV"/>
        </w:rPr>
        <w:t xml:space="preserve">objektīvas un </w:t>
      </w:r>
      <w:r w:rsidRPr="00F147A9">
        <w:rPr>
          <w:lang w:val="lv-LV"/>
        </w:rPr>
        <w:t>samērīgas</w:t>
      </w:r>
      <w:r>
        <w:rPr>
          <w:lang w:val="lv-LV"/>
        </w:rPr>
        <w:t>,</w:t>
      </w:r>
      <w:r w:rsidRPr="00F147A9">
        <w:rPr>
          <w:lang w:val="lv-LV"/>
        </w:rPr>
        <w:t xml:space="preserve"> Pasūtītājs konstatēja, ka faktiskā situācija atbilst gadījumam, kad </w:t>
      </w:r>
      <w:r>
        <w:rPr>
          <w:lang w:val="lv-LV"/>
        </w:rPr>
        <w:t xml:space="preserve">Ministru kabineta noteikumu Nr.107 19.punkta </w:t>
      </w:r>
      <w:r w:rsidRPr="00F147A9">
        <w:rPr>
          <w:lang w:val="lv-LV"/>
        </w:rPr>
        <w:t xml:space="preserve">regulējums nevar tikt piemērots iepriekš minēto apsvērumu dēļ, un </w:t>
      </w:r>
      <w:r w:rsidRPr="00DC1645">
        <w:rPr>
          <w:u w:val="single"/>
          <w:lang w:val="lv-LV"/>
        </w:rPr>
        <w:t>pieņēma lēmumu turpināt iepirkuma procedūru</w:t>
      </w:r>
      <w:r w:rsidRPr="00F147A9">
        <w:rPr>
          <w:lang w:val="lv-LV"/>
        </w:rPr>
        <w:t>.</w:t>
      </w:r>
    </w:p>
    <w:p w:rsidR="00FF35BD" w:rsidRDefault="00FF35BD" w:rsidP="00934E41">
      <w:pPr>
        <w:ind w:right="-2" w:firstLine="720"/>
        <w:jc w:val="both"/>
        <w:rPr>
          <w:b/>
          <w:bCs/>
          <w:lang w:val="lv-LV"/>
        </w:rPr>
      </w:pPr>
    </w:p>
    <w:p w:rsidR="006F23AB" w:rsidRPr="00B174A7" w:rsidRDefault="006F23AB" w:rsidP="006F23AB">
      <w:pPr>
        <w:ind w:firstLine="720"/>
        <w:jc w:val="both"/>
        <w:rPr>
          <w:bCs/>
          <w:lang w:val="lv-LV"/>
        </w:rPr>
      </w:pPr>
      <w:r>
        <w:rPr>
          <w:b/>
          <w:bCs/>
          <w:lang w:val="lv-LV"/>
        </w:rPr>
        <w:t xml:space="preserve">12. </w:t>
      </w:r>
      <w:r w:rsidRPr="00B174A7">
        <w:rPr>
          <w:b/>
          <w:bCs/>
          <w:lang w:val="lv-LV"/>
        </w:rPr>
        <w:t xml:space="preserve">Lēmuma pamatojums, ja iepirkuma komisija pieņēmusi lēmumu pārtraukt vai izbeigt iepirkuma procedūru: </w:t>
      </w:r>
      <w:r w:rsidRPr="00B174A7">
        <w:rPr>
          <w:bCs/>
          <w:lang w:val="lv-LV"/>
        </w:rPr>
        <w:t xml:space="preserve">nav pārtraukta vai izbeigta iepirkuma procedūra. </w:t>
      </w:r>
    </w:p>
    <w:p w:rsidR="006F23AB" w:rsidRPr="00B174A7" w:rsidRDefault="006F23AB" w:rsidP="006F23AB">
      <w:pPr>
        <w:ind w:right="-2" w:firstLine="720"/>
        <w:jc w:val="both"/>
        <w:rPr>
          <w:lang w:val="lv-LV"/>
        </w:rPr>
      </w:pPr>
      <w:r>
        <w:rPr>
          <w:b/>
          <w:lang w:val="lv-LV"/>
        </w:rPr>
        <w:t xml:space="preserve">13. </w:t>
      </w:r>
      <w:r w:rsidRPr="00B174A7">
        <w:rPr>
          <w:b/>
          <w:lang w:val="lv-LV"/>
        </w:rPr>
        <w:t xml:space="preserve">Piedāvājuma noraidīšanas pamatojums, ja iepirkuma komisija atzinusi piedāvājumu par nepamatoti lētu: </w:t>
      </w:r>
      <w:r w:rsidRPr="00B174A7">
        <w:rPr>
          <w:lang w:val="lv-LV"/>
        </w:rPr>
        <w:t xml:space="preserve">nav atzīts. </w:t>
      </w:r>
    </w:p>
    <w:p w:rsidR="006F23AB" w:rsidRPr="00B174A7" w:rsidRDefault="006F23AB" w:rsidP="006F23AB">
      <w:pPr>
        <w:ind w:right="-2" w:firstLine="720"/>
        <w:jc w:val="both"/>
        <w:rPr>
          <w:lang w:val="lv-LV"/>
        </w:rPr>
      </w:pPr>
      <w:r>
        <w:rPr>
          <w:b/>
          <w:lang w:val="lv-LV"/>
        </w:rPr>
        <w:t xml:space="preserve">14. </w:t>
      </w:r>
      <w:r w:rsidRPr="00B174A7">
        <w:rPr>
          <w:b/>
          <w:lang w:val="lv-LV"/>
        </w:rPr>
        <w:t>Iemesli, kuru dēļ netiek paredzēta elektroniska piedāvājumu iesniegšana, ja pasūtītājam ir pienākums izmantot piedāvājumu saņemšanai elektroniskās informācijas sistēmas</w:t>
      </w:r>
      <w:r w:rsidRPr="00B174A7">
        <w:rPr>
          <w:lang w:val="lv-LV"/>
        </w:rPr>
        <w:t xml:space="preserve"> – nav pienākums. </w:t>
      </w:r>
    </w:p>
    <w:p w:rsidR="006F23AB" w:rsidRPr="00B174A7" w:rsidRDefault="006F23AB" w:rsidP="006F23AB">
      <w:pPr>
        <w:ind w:right="-2" w:firstLine="720"/>
        <w:jc w:val="both"/>
        <w:rPr>
          <w:lang w:val="lv-LV"/>
        </w:rPr>
      </w:pPr>
      <w:r>
        <w:rPr>
          <w:b/>
          <w:lang w:val="lv-LV"/>
        </w:rPr>
        <w:t xml:space="preserve">15. </w:t>
      </w:r>
      <w:r w:rsidRPr="00B174A7">
        <w:rPr>
          <w:b/>
          <w:lang w:val="lv-LV"/>
        </w:rPr>
        <w:t xml:space="preserve">Konstatētie interešu konflikti un pasākumi, kas veikti to novēršanai: </w:t>
      </w:r>
      <w:r w:rsidRPr="00B174A7">
        <w:rPr>
          <w:lang w:val="lv-LV"/>
        </w:rPr>
        <w:t xml:space="preserve">nav konstatēti. </w:t>
      </w:r>
    </w:p>
    <w:p w:rsidR="006F23AB" w:rsidRPr="002B158C" w:rsidRDefault="006F23AB" w:rsidP="006F23AB">
      <w:pPr>
        <w:pStyle w:val="ListParagraph"/>
        <w:rPr>
          <w:lang w:val="lv-LV"/>
        </w:rPr>
      </w:pPr>
    </w:p>
    <w:p w:rsidR="006F23AB" w:rsidRPr="002B158C" w:rsidRDefault="006F23AB" w:rsidP="006F23AB">
      <w:pPr>
        <w:ind w:right="-2" w:firstLine="720"/>
        <w:jc w:val="both"/>
        <w:rPr>
          <w:bCs/>
          <w:lang w:val="lv-LV"/>
        </w:rPr>
      </w:pPr>
      <w:r>
        <w:rPr>
          <w:lang w:val="lv-LV"/>
        </w:rPr>
        <w:t>Pielikumā</w:t>
      </w:r>
      <w:r w:rsidRPr="002B158C">
        <w:rPr>
          <w:lang w:val="lv-LV"/>
        </w:rPr>
        <w:t>:</w:t>
      </w:r>
      <w:r w:rsidRPr="002B158C">
        <w:rPr>
          <w:bCs/>
          <w:lang w:val="lv-LV"/>
        </w:rPr>
        <w:t xml:space="preserve"> </w:t>
      </w:r>
    </w:p>
    <w:p w:rsidR="006F23AB" w:rsidRPr="002B158C" w:rsidRDefault="006F23AB" w:rsidP="006F23AB">
      <w:pPr>
        <w:pStyle w:val="BodyText"/>
        <w:widowControl/>
        <w:numPr>
          <w:ilvl w:val="0"/>
          <w:numId w:val="1"/>
        </w:numPr>
        <w:ind w:right="-2"/>
        <w:rPr>
          <w:bCs/>
        </w:rPr>
      </w:pPr>
      <w:r w:rsidRPr="002B158C">
        <w:rPr>
          <w:bCs/>
        </w:rPr>
        <w:t>201</w:t>
      </w:r>
      <w:r>
        <w:rPr>
          <w:bCs/>
        </w:rPr>
        <w:t>7</w:t>
      </w:r>
      <w:r w:rsidRPr="002B158C">
        <w:rPr>
          <w:bCs/>
        </w:rPr>
        <w:t xml:space="preserve">.gada </w:t>
      </w:r>
      <w:r>
        <w:rPr>
          <w:bCs/>
        </w:rPr>
        <w:t>24.augusta</w:t>
      </w:r>
      <w:r w:rsidRPr="002B158C">
        <w:rPr>
          <w:bCs/>
        </w:rPr>
        <w:t xml:space="preserve"> Jēkabpils pilsētas domes sēdes lēmuma Nr.</w:t>
      </w:r>
      <w:r>
        <w:rPr>
          <w:bCs/>
        </w:rPr>
        <w:t>293</w:t>
      </w:r>
      <w:r w:rsidRPr="002B158C">
        <w:rPr>
          <w:bCs/>
        </w:rPr>
        <w:t xml:space="preserve"> (protokols Nr.</w:t>
      </w:r>
      <w:r>
        <w:rPr>
          <w:bCs/>
        </w:rPr>
        <w:t xml:space="preserve"> 22</w:t>
      </w:r>
      <w:r w:rsidRPr="002B158C">
        <w:rPr>
          <w:bCs/>
        </w:rPr>
        <w:t xml:space="preserve">., </w:t>
      </w:r>
      <w:r>
        <w:rPr>
          <w:bCs/>
        </w:rPr>
        <w:t>10</w:t>
      </w:r>
      <w:r w:rsidRPr="002B158C">
        <w:rPr>
          <w:bCs/>
        </w:rPr>
        <w:t xml:space="preserve">.§) kopija uz 1 </w:t>
      </w:r>
      <w:proofErr w:type="spellStart"/>
      <w:r w:rsidRPr="002B158C">
        <w:rPr>
          <w:bCs/>
        </w:rPr>
        <w:t>lp</w:t>
      </w:r>
      <w:proofErr w:type="spellEnd"/>
      <w:r w:rsidRPr="002B158C">
        <w:rPr>
          <w:bCs/>
        </w:rPr>
        <w:t>.;</w:t>
      </w:r>
    </w:p>
    <w:p w:rsidR="006F23AB" w:rsidRPr="00647F26" w:rsidRDefault="006F23AB" w:rsidP="006F23AB">
      <w:pPr>
        <w:pStyle w:val="BodyText"/>
        <w:widowControl/>
        <w:numPr>
          <w:ilvl w:val="0"/>
          <w:numId w:val="1"/>
        </w:numPr>
        <w:ind w:right="-2"/>
        <w:rPr>
          <w:bCs/>
        </w:rPr>
      </w:pPr>
      <w:r w:rsidRPr="002B158C">
        <w:t xml:space="preserve">Atklāta konkursa nolikums uz </w:t>
      </w:r>
      <w:r w:rsidR="00934E41">
        <w:rPr>
          <w:color w:val="000000"/>
          <w:szCs w:val="20"/>
        </w:rPr>
        <w:t>49</w:t>
      </w:r>
      <w:r w:rsidRPr="002B158C">
        <w:rPr>
          <w:color w:val="000000"/>
          <w:szCs w:val="20"/>
        </w:rPr>
        <w:t xml:space="preserve"> </w:t>
      </w:r>
      <w:proofErr w:type="spellStart"/>
      <w:r w:rsidRPr="002B158C">
        <w:t>lp</w:t>
      </w:r>
      <w:proofErr w:type="spellEnd"/>
      <w:r w:rsidRPr="002B158C">
        <w:t>.;</w:t>
      </w:r>
    </w:p>
    <w:p w:rsidR="006F23AB" w:rsidRPr="002B158C" w:rsidRDefault="006F23AB" w:rsidP="006F23AB">
      <w:pPr>
        <w:pStyle w:val="BodyText"/>
        <w:widowControl/>
        <w:numPr>
          <w:ilvl w:val="0"/>
          <w:numId w:val="1"/>
        </w:numPr>
        <w:ind w:right="-2"/>
        <w:rPr>
          <w:bCs/>
        </w:rPr>
      </w:pPr>
      <w:r w:rsidRPr="002B158C">
        <w:t xml:space="preserve">Izdruka no Jēkabpils pilsētas pašvaldības mājas lapas </w:t>
      </w:r>
      <w:r w:rsidR="00934E41">
        <w:rPr>
          <w:color w:val="000000" w:themeColor="text1"/>
        </w:rPr>
        <w:t>23.02.2018.</w:t>
      </w:r>
      <w:r w:rsidRPr="00F36AF6">
        <w:rPr>
          <w:color w:val="000000" w:themeColor="text1"/>
        </w:rPr>
        <w:t xml:space="preserve"> </w:t>
      </w:r>
      <w:r w:rsidRPr="002B158C">
        <w:t>par iepirkuma procedūras uzsākšanu</w:t>
      </w:r>
      <w:r>
        <w:t>, kopā uz 1</w:t>
      </w:r>
      <w:r w:rsidRPr="002B158C">
        <w:t xml:space="preserve"> </w:t>
      </w:r>
      <w:proofErr w:type="spellStart"/>
      <w:r w:rsidRPr="002B158C">
        <w:t>lp</w:t>
      </w:r>
      <w:proofErr w:type="spellEnd"/>
      <w:r w:rsidRPr="002B158C">
        <w:t>.;</w:t>
      </w:r>
    </w:p>
    <w:p w:rsidR="006F23AB" w:rsidRPr="00AD519F" w:rsidRDefault="006F23AB" w:rsidP="006F23AB">
      <w:pPr>
        <w:pStyle w:val="BodyText"/>
        <w:widowControl/>
        <w:numPr>
          <w:ilvl w:val="0"/>
          <w:numId w:val="1"/>
        </w:numPr>
        <w:ind w:right="-2"/>
        <w:rPr>
          <w:bCs/>
        </w:rPr>
      </w:pPr>
      <w:r w:rsidRPr="00AF0E53">
        <w:rPr>
          <w:color w:val="000000"/>
          <w:szCs w:val="22"/>
        </w:rPr>
        <w:t>201</w:t>
      </w:r>
      <w:r w:rsidR="00934E41">
        <w:rPr>
          <w:color w:val="000000"/>
          <w:szCs w:val="22"/>
        </w:rPr>
        <w:t>8</w:t>
      </w:r>
      <w:r w:rsidRPr="00AF0E53">
        <w:rPr>
          <w:color w:val="000000"/>
          <w:szCs w:val="22"/>
        </w:rPr>
        <w:t xml:space="preserve">.gada </w:t>
      </w:r>
      <w:r w:rsidR="00934E41">
        <w:rPr>
          <w:color w:val="000000"/>
          <w:szCs w:val="22"/>
        </w:rPr>
        <w:t>16.februāra</w:t>
      </w:r>
      <w:r w:rsidRPr="00AF0E53">
        <w:rPr>
          <w:color w:val="000000"/>
          <w:szCs w:val="22"/>
        </w:rPr>
        <w:t xml:space="preserve"> pašvaldības iepirkumu komisijas sēdes protokols</w:t>
      </w:r>
      <w:r>
        <w:rPr>
          <w:color w:val="000000"/>
          <w:szCs w:val="22"/>
        </w:rPr>
        <w:t xml:space="preserve"> Nr.</w:t>
      </w:r>
      <w:r w:rsidR="00934E41">
        <w:rPr>
          <w:color w:val="000000"/>
          <w:szCs w:val="22"/>
        </w:rPr>
        <w:t>37</w:t>
      </w:r>
      <w:r w:rsidRPr="00AF0E53">
        <w:rPr>
          <w:color w:val="000000"/>
          <w:szCs w:val="22"/>
        </w:rPr>
        <w:t xml:space="preserve"> par nolikuma apstiprināšanu un iepirkuma procedūras uzsākšanu uz </w:t>
      </w:r>
      <w:r>
        <w:rPr>
          <w:color w:val="000000"/>
          <w:szCs w:val="22"/>
        </w:rPr>
        <w:t>2</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sagatavotāju apliecinājumi);</w:t>
      </w:r>
    </w:p>
    <w:p w:rsidR="006F23AB" w:rsidRPr="00AF0E53" w:rsidRDefault="006F23AB" w:rsidP="006F23AB">
      <w:pPr>
        <w:pStyle w:val="BodyText"/>
        <w:widowControl/>
        <w:numPr>
          <w:ilvl w:val="0"/>
          <w:numId w:val="1"/>
        </w:numPr>
        <w:ind w:right="-2"/>
        <w:rPr>
          <w:bCs/>
        </w:rPr>
      </w:pPr>
      <w:r w:rsidRPr="00AF0E53">
        <w:t>201</w:t>
      </w:r>
      <w:r w:rsidR="00934E41">
        <w:t>8</w:t>
      </w:r>
      <w:r w:rsidRPr="00AF0E53">
        <w:t xml:space="preserve">.gada </w:t>
      </w:r>
      <w:r w:rsidR="00934E41">
        <w:t>16.marta</w:t>
      </w:r>
      <w:r w:rsidRPr="00AF0E53">
        <w:t xml:space="preserve"> pašvaldības iepirkumu komisijas piedāvājumu atvēršanas sanāksmes protokols Nr.</w:t>
      </w:r>
      <w:r w:rsidR="00934E41">
        <w:t>73</w:t>
      </w:r>
      <w:r w:rsidRPr="00AF0E53">
        <w:t xml:space="preserve"> uz </w:t>
      </w:r>
      <w:r>
        <w:t>2</w:t>
      </w:r>
      <w:r w:rsidRPr="00AF0E53">
        <w:t xml:space="preserve"> </w:t>
      </w:r>
      <w:proofErr w:type="spellStart"/>
      <w:r w:rsidRPr="00AF0E53">
        <w:t>lp</w:t>
      </w:r>
      <w:proofErr w:type="spellEnd"/>
      <w:r w:rsidRPr="00AF0E53">
        <w:t>. ar pielikumiem</w:t>
      </w:r>
      <w:r w:rsidRPr="00AF0E53">
        <w:rPr>
          <w:color w:val="000000"/>
          <w:szCs w:val="22"/>
        </w:rPr>
        <w:t xml:space="preserve"> (</w:t>
      </w:r>
      <w:r>
        <w:rPr>
          <w:color w:val="000000"/>
          <w:szCs w:val="22"/>
        </w:rPr>
        <w:t xml:space="preserve">t.sk. </w:t>
      </w:r>
      <w:r w:rsidRPr="00AF0E53">
        <w:rPr>
          <w:color w:val="000000"/>
          <w:szCs w:val="22"/>
        </w:rPr>
        <w:t>iepirkuma</w:t>
      </w:r>
      <w:r>
        <w:rPr>
          <w:color w:val="000000"/>
          <w:szCs w:val="22"/>
        </w:rPr>
        <w:t xml:space="preserve"> komisijas locekļu apliecinājumi, iesniegto piedāvājumu saraksts un</w:t>
      </w:r>
      <w:r w:rsidRPr="00AF0E53">
        <w:rPr>
          <w:color w:val="000000"/>
          <w:szCs w:val="22"/>
        </w:rPr>
        <w:t xml:space="preserve"> piedāvājumi)</w:t>
      </w:r>
      <w:r w:rsidRPr="00AF0E53">
        <w:t>;</w:t>
      </w:r>
    </w:p>
    <w:p w:rsidR="006F23AB" w:rsidRPr="00934E41" w:rsidRDefault="006F23AB" w:rsidP="006F23AB">
      <w:pPr>
        <w:pStyle w:val="BodyText"/>
        <w:widowControl/>
        <w:numPr>
          <w:ilvl w:val="0"/>
          <w:numId w:val="1"/>
        </w:numPr>
        <w:ind w:right="-2"/>
        <w:rPr>
          <w:bCs/>
        </w:rPr>
      </w:pPr>
      <w:r w:rsidRPr="00AF0E53">
        <w:t>201</w:t>
      </w:r>
      <w:r w:rsidR="00934E41">
        <w:t>8</w:t>
      </w:r>
      <w:r w:rsidRPr="00AF0E53">
        <w:t xml:space="preserve">.gada </w:t>
      </w:r>
      <w:r w:rsidR="00934E41">
        <w:t>20.marta</w:t>
      </w:r>
      <w:r w:rsidRPr="00AF0E53">
        <w:t xml:space="preserve"> pašvaldības iepirkumu komisijas piedāvājumu </w:t>
      </w:r>
      <w:r>
        <w:t>vērtēšanas sēdes protokols Nr.</w:t>
      </w:r>
      <w:r w:rsidR="00934E41">
        <w:t>80</w:t>
      </w:r>
      <w:r w:rsidRPr="00AF0E53">
        <w:t xml:space="preserve"> uz </w:t>
      </w:r>
      <w:r w:rsidR="00934E41">
        <w:t>3</w:t>
      </w:r>
      <w:r w:rsidRPr="00AF0E53">
        <w:t xml:space="preserve"> </w:t>
      </w:r>
      <w:proofErr w:type="spellStart"/>
      <w:r w:rsidRPr="00AF0E53">
        <w:t>lp</w:t>
      </w:r>
      <w:proofErr w:type="spellEnd"/>
      <w:r w:rsidRPr="00AF0E53">
        <w:t>. ar pielikumiem</w:t>
      </w:r>
      <w:r w:rsidR="00934E41">
        <w:t>;</w:t>
      </w:r>
    </w:p>
    <w:p w:rsidR="00934E41" w:rsidRPr="00AF0E53" w:rsidRDefault="00934E41" w:rsidP="00934E41">
      <w:pPr>
        <w:pStyle w:val="BodyText"/>
        <w:widowControl/>
        <w:numPr>
          <w:ilvl w:val="0"/>
          <w:numId w:val="1"/>
        </w:numPr>
        <w:ind w:right="-2"/>
        <w:rPr>
          <w:bCs/>
        </w:rPr>
      </w:pPr>
      <w:r w:rsidRPr="00AF0E53">
        <w:t>201</w:t>
      </w:r>
      <w:r>
        <w:t>8</w:t>
      </w:r>
      <w:r w:rsidRPr="00AF0E53">
        <w:t xml:space="preserve">.gada </w:t>
      </w:r>
      <w:r>
        <w:t>4.aprīļa</w:t>
      </w:r>
      <w:r w:rsidRPr="00AF0E53">
        <w:t xml:space="preserve"> pašvaldības iepirkumu komisijas piedāvājumu </w:t>
      </w:r>
      <w:r>
        <w:t>vērtēšanas sēdes protokols Nr.99</w:t>
      </w:r>
      <w:r w:rsidRPr="00AF0E53">
        <w:t xml:space="preserve"> uz </w:t>
      </w:r>
      <w:r>
        <w:t>2</w:t>
      </w:r>
      <w:r w:rsidRPr="00AF0E53">
        <w:t xml:space="preserve"> </w:t>
      </w:r>
      <w:proofErr w:type="spellStart"/>
      <w:r w:rsidRPr="00AF0E53">
        <w:t>lp</w:t>
      </w:r>
      <w:proofErr w:type="spellEnd"/>
      <w:r w:rsidRPr="00AF0E53">
        <w:t>. ar pielikumiem</w:t>
      </w:r>
      <w:r>
        <w:t>;</w:t>
      </w:r>
    </w:p>
    <w:p w:rsidR="00934E41" w:rsidRPr="00AF0E53" w:rsidRDefault="00934E41" w:rsidP="00934E41">
      <w:pPr>
        <w:pStyle w:val="BodyText"/>
        <w:widowControl/>
        <w:numPr>
          <w:ilvl w:val="0"/>
          <w:numId w:val="1"/>
        </w:numPr>
        <w:ind w:right="-2"/>
        <w:rPr>
          <w:bCs/>
        </w:rPr>
      </w:pPr>
      <w:r w:rsidRPr="00AF0E53">
        <w:t>201</w:t>
      </w:r>
      <w:r>
        <w:t>8</w:t>
      </w:r>
      <w:r w:rsidRPr="00AF0E53">
        <w:t xml:space="preserve">.gada </w:t>
      </w:r>
      <w:r>
        <w:t>13.aprīļa</w:t>
      </w:r>
      <w:r w:rsidRPr="00AF0E53">
        <w:t xml:space="preserve"> pašvaldības iepirkumu komisijas piedāvājumu </w:t>
      </w:r>
      <w:r>
        <w:t>vērtēšanas sēdes protokols Nr.100</w:t>
      </w:r>
      <w:r w:rsidRPr="00AF0E53">
        <w:t xml:space="preserve"> uz </w:t>
      </w:r>
      <w:r>
        <w:t>2</w:t>
      </w:r>
      <w:r w:rsidRPr="00AF0E53">
        <w:t xml:space="preserve"> </w:t>
      </w:r>
      <w:proofErr w:type="spellStart"/>
      <w:r w:rsidRPr="00AF0E53">
        <w:t>lp</w:t>
      </w:r>
      <w:proofErr w:type="spellEnd"/>
      <w:r w:rsidRPr="00AF0E53">
        <w:t>. ar pielikumiem</w:t>
      </w:r>
      <w:r>
        <w:t>;</w:t>
      </w:r>
    </w:p>
    <w:p w:rsidR="006F23AB" w:rsidRPr="00FC2067" w:rsidRDefault="00934E41" w:rsidP="006F23AB">
      <w:pPr>
        <w:ind w:right="-2" w:firstLine="720"/>
        <w:jc w:val="both"/>
        <w:rPr>
          <w:color w:val="000000" w:themeColor="text1"/>
          <w:lang w:val="lv-LV"/>
        </w:rPr>
      </w:pPr>
      <w:r>
        <w:rPr>
          <w:color w:val="000000"/>
          <w:lang w:val="lv-LV"/>
        </w:rPr>
        <w:t>9</w:t>
      </w:r>
      <w:r w:rsidR="006F23AB">
        <w:rPr>
          <w:color w:val="000000"/>
          <w:lang w:val="lv-LV"/>
        </w:rPr>
        <w:t xml:space="preserve">.   </w:t>
      </w:r>
      <w:r>
        <w:rPr>
          <w:color w:val="000000"/>
          <w:lang w:val="lv-LV"/>
        </w:rPr>
        <w:t xml:space="preserve">SIA </w:t>
      </w:r>
      <w:r w:rsidR="006F23AB">
        <w:rPr>
          <w:color w:val="000000"/>
          <w:lang w:val="lv-LV"/>
        </w:rPr>
        <w:t>“</w:t>
      </w:r>
      <w:r>
        <w:rPr>
          <w:color w:val="000000"/>
          <w:lang w:val="lv-LV"/>
        </w:rPr>
        <w:t>AJV grupa</w:t>
      </w:r>
      <w:r w:rsidR="006F23AB">
        <w:rPr>
          <w:color w:val="000000"/>
          <w:lang w:val="lv-LV"/>
        </w:rPr>
        <w:t xml:space="preserve">” piedāvājums uz </w:t>
      </w:r>
      <w:r>
        <w:rPr>
          <w:color w:val="000000" w:themeColor="text1"/>
          <w:lang w:val="lv-LV"/>
        </w:rPr>
        <w:t xml:space="preserve">97 </w:t>
      </w:r>
      <w:proofErr w:type="spellStart"/>
      <w:r w:rsidR="006F23AB" w:rsidRPr="00FC2067">
        <w:rPr>
          <w:color w:val="000000" w:themeColor="text1"/>
          <w:lang w:val="lv-LV"/>
        </w:rPr>
        <w:t>lp</w:t>
      </w:r>
      <w:proofErr w:type="spellEnd"/>
      <w:r w:rsidR="006F23AB" w:rsidRPr="00FC2067">
        <w:rPr>
          <w:color w:val="000000" w:themeColor="text1"/>
          <w:lang w:val="lv-LV"/>
        </w:rPr>
        <w:t>.</w:t>
      </w:r>
    </w:p>
    <w:p w:rsidR="006F23AB" w:rsidRPr="008A0BAF" w:rsidRDefault="006F23AB" w:rsidP="006F23AB">
      <w:pPr>
        <w:ind w:right="-2"/>
        <w:jc w:val="both"/>
        <w:rPr>
          <w:color w:val="000000"/>
          <w:szCs w:val="22"/>
          <w:lang w:val="lv-LV"/>
        </w:rPr>
      </w:pPr>
    </w:p>
    <w:p w:rsidR="006F23AB" w:rsidRDefault="006F23AB" w:rsidP="006F23AB">
      <w:pPr>
        <w:ind w:right="-2"/>
        <w:jc w:val="both"/>
        <w:rPr>
          <w:lang w:val="lv-LV"/>
        </w:rPr>
      </w:pPr>
    </w:p>
    <w:p w:rsidR="006F23AB" w:rsidRDefault="006F23AB" w:rsidP="006F23AB">
      <w:pPr>
        <w:ind w:right="-2"/>
        <w:jc w:val="both"/>
        <w:rPr>
          <w:lang w:val="lv-LV"/>
        </w:rPr>
      </w:pPr>
      <w:r>
        <w:rPr>
          <w:lang w:val="lv-LV"/>
        </w:rPr>
        <w:t>Komisijas priekšsēdētāja</w:t>
      </w:r>
      <w:r w:rsidR="00934E41">
        <w:rPr>
          <w:lang w:val="lv-LV"/>
        </w:rPr>
        <w:tab/>
      </w:r>
      <w:r w:rsidR="00934E41">
        <w:rPr>
          <w:lang w:val="lv-LV"/>
        </w:rPr>
        <w:tab/>
      </w:r>
      <w:r>
        <w:rPr>
          <w:lang w:val="lv-LV"/>
        </w:rPr>
        <w:tab/>
        <w:t xml:space="preserve">            </w:t>
      </w:r>
      <w:r>
        <w:rPr>
          <w:lang w:val="lv-LV"/>
        </w:rPr>
        <w:tab/>
      </w:r>
      <w:r>
        <w:rPr>
          <w:lang w:val="lv-LV"/>
        </w:rPr>
        <w:tab/>
      </w:r>
      <w:r>
        <w:rPr>
          <w:lang w:val="lv-LV"/>
        </w:rPr>
        <w:tab/>
      </w:r>
      <w:r>
        <w:rPr>
          <w:lang w:val="lv-LV"/>
        </w:rPr>
        <w:tab/>
      </w:r>
      <w:r w:rsidR="00934E41">
        <w:rPr>
          <w:lang w:val="lv-LV"/>
        </w:rPr>
        <w:t>L.Meldrāja</w:t>
      </w:r>
      <w:r>
        <w:rPr>
          <w:lang w:val="lv-LV"/>
        </w:rPr>
        <w:tab/>
      </w:r>
      <w:r>
        <w:rPr>
          <w:lang w:val="lv-LV"/>
        </w:rPr>
        <w:tab/>
      </w:r>
    </w:p>
    <w:p w:rsidR="003441ED" w:rsidRPr="0049781B" w:rsidRDefault="006F23AB" w:rsidP="00F63CCD">
      <w:pPr>
        <w:ind w:right="-2"/>
        <w:jc w:val="both"/>
        <w:rPr>
          <w:lang w:val="lv-LV"/>
        </w:rPr>
      </w:pPr>
      <w:r>
        <w:rPr>
          <w:lang w:val="lv-LV"/>
        </w:rPr>
        <w:t>Komisijas sekretāre</w:t>
      </w:r>
      <w:r>
        <w:rPr>
          <w:lang w:val="lv-LV"/>
        </w:rPr>
        <w:tab/>
      </w:r>
      <w:r>
        <w:rPr>
          <w:lang w:val="lv-LV"/>
        </w:rPr>
        <w:tab/>
      </w:r>
      <w:r w:rsidR="00934E41">
        <w:rPr>
          <w:lang w:val="lv-LV"/>
        </w:rPr>
        <w:tab/>
      </w:r>
      <w:r>
        <w:rPr>
          <w:lang w:val="lv-LV"/>
        </w:rPr>
        <w:tab/>
      </w:r>
      <w:r>
        <w:rPr>
          <w:lang w:val="lv-LV"/>
        </w:rPr>
        <w:tab/>
      </w:r>
      <w:r>
        <w:rPr>
          <w:lang w:val="lv-LV"/>
        </w:rPr>
        <w:tab/>
      </w:r>
      <w:r>
        <w:rPr>
          <w:lang w:val="lv-LV"/>
        </w:rPr>
        <w:tab/>
      </w:r>
      <w:r>
        <w:rPr>
          <w:lang w:val="lv-LV"/>
        </w:rPr>
        <w:tab/>
      </w:r>
      <w:r>
        <w:rPr>
          <w:lang w:val="lv-LV"/>
        </w:rPr>
        <w:tab/>
      </w:r>
      <w:proofErr w:type="spellStart"/>
      <w:r>
        <w:rPr>
          <w:lang w:val="lv-LV"/>
        </w:rPr>
        <w:t>M.Stankevica</w:t>
      </w:r>
      <w:bookmarkStart w:id="0" w:name="_GoBack"/>
      <w:bookmarkEnd w:id="0"/>
      <w:proofErr w:type="spellEnd"/>
    </w:p>
    <w:sectPr w:rsidR="003441ED" w:rsidRPr="0049781B" w:rsidSect="000604EE">
      <w:footerReference w:type="default" r:id="rId9"/>
      <w:pgSz w:w="11906" w:h="16838"/>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06" w:rsidRDefault="00DF2906">
      <w:r>
        <w:separator/>
      </w:r>
    </w:p>
  </w:endnote>
  <w:endnote w:type="continuationSeparator" w:id="0">
    <w:p w:rsidR="00DF2906" w:rsidRDefault="00DF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934E41">
        <w:pPr>
          <w:pStyle w:val="Footer"/>
          <w:jc w:val="center"/>
        </w:pPr>
        <w:r>
          <w:fldChar w:fldCharType="begin"/>
        </w:r>
        <w:r>
          <w:instrText xml:space="preserve"> PAGE   \* MERGEFORMAT </w:instrText>
        </w:r>
        <w:r>
          <w:fldChar w:fldCharType="separate"/>
        </w:r>
        <w:r w:rsidR="00F63CCD">
          <w:rPr>
            <w:noProof/>
          </w:rPr>
          <w:t>3</w:t>
        </w:r>
        <w:r>
          <w:rPr>
            <w:noProof/>
          </w:rPr>
          <w:fldChar w:fldCharType="end"/>
        </w:r>
      </w:p>
    </w:sdtContent>
  </w:sdt>
  <w:p w:rsidR="00505236" w:rsidRDefault="00DF2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06" w:rsidRDefault="00DF2906">
      <w:r>
        <w:separator/>
      </w:r>
    </w:p>
  </w:footnote>
  <w:footnote w:type="continuationSeparator" w:id="0">
    <w:p w:rsidR="00DF2906" w:rsidRDefault="00DF2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E5515B5"/>
    <w:multiLevelType w:val="multilevel"/>
    <w:tmpl w:val="FFDADE9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63C427A8"/>
    <w:multiLevelType w:val="multilevel"/>
    <w:tmpl w:val="7574672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AB"/>
    <w:rsid w:val="000604EE"/>
    <w:rsid w:val="003441ED"/>
    <w:rsid w:val="0049781B"/>
    <w:rsid w:val="006F23AB"/>
    <w:rsid w:val="00934E41"/>
    <w:rsid w:val="00B340BD"/>
    <w:rsid w:val="00DF2906"/>
    <w:rsid w:val="00F63CCD"/>
    <w:rsid w:val="00FF35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8C210-F8BB-4FAE-AD5B-298F50D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AB"/>
    <w:rPr>
      <w:rFonts w:eastAsia="Times New Roman" w:cs="Times New Roman"/>
      <w:szCs w:val="24"/>
      <w:lang w:val="en-GB"/>
    </w:rPr>
  </w:style>
  <w:style w:type="paragraph" w:styleId="Heading1">
    <w:name w:val="heading 1"/>
    <w:basedOn w:val="Normal"/>
    <w:next w:val="Normal"/>
    <w:link w:val="Heading1Char"/>
    <w:qFormat/>
    <w:rsid w:val="006F23AB"/>
    <w:pPr>
      <w:keepNext/>
      <w:outlineLvl w:val="0"/>
    </w:pPr>
    <w:rPr>
      <w:b/>
      <w:lang w:val="lv-LV"/>
    </w:rPr>
  </w:style>
  <w:style w:type="paragraph" w:styleId="Heading2">
    <w:name w:val="heading 2"/>
    <w:basedOn w:val="Normal"/>
    <w:next w:val="Normal"/>
    <w:link w:val="Heading2Char"/>
    <w:qFormat/>
    <w:rsid w:val="006F23AB"/>
    <w:pPr>
      <w:keepNext/>
      <w:ind w:right="-1054"/>
      <w:outlineLvl w:val="1"/>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AB"/>
    <w:rPr>
      <w:rFonts w:eastAsia="Times New Roman" w:cs="Times New Roman"/>
      <w:b/>
      <w:szCs w:val="24"/>
    </w:rPr>
  </w:style>
  <w:style w:type="character" w:customStyle="1" w:styleId="Heading2Char">
    <w:name w:val="Heading 2 Char"/>
    <w:basedOn w:val="DefaultParagraphFont"/>
    <w:link w:val="Heading2"/>
    <w:rsid w:val="006F23AB"/>
    <w:rPr>
      <w:rFonts w:eastAsia="Times New Roman" w:cs="Times New Roman"/>
      <w:b/>
      <w:bCs/>
      <w:szCs w:val="24"/>
    </w:rPr>
  </w:style>
  <w:style w:type="paragraph" w:styleId="BodyText">
    <w:name w:val="Body Text"/>
    <w:aliases w:val="Body Text1"/>
    <w:basedOn w:val="Normal"/>
    <w:link w:val="BodyTextChar"/>
    <w:semiHidden/>
    <w:rsid w:val="006F23AB"/>
    <w:pPr>
      <w:widowControl w:val="0"/>
      <w:jc w:val="both"/>
    </w:pPr>
    <w:rPr>
      <w:lang w:val="lv-LV"/>
    </w:rPr>
  </w:style>
  <w:style w:type="character" w:customStyle="1" w:styleId="BodyTextChar">
    <w:name w:val="Body Text Char"/>
    <w:aliases w:val="Body Text1 Char"/>
    <w:basedOn w:val="DefaultParagraphFont"/>
    <w:link w:val="BodyText"/>
    <w:semiHidden/>
    <w:rsid w:val="006F23AB"/>
    <w:rPr>
      <w:rFonts w:eastAsia="Times New Roman" w:cs="Times New Roman"/>
      <w:szCs w:val="24"/>
    </w:rPr>
  </w:style>
  <w:style w:type="character" w:styleId="Hyperlink">
    <w:name w:val="Hyperlink"/>
    <w:basedOn w:val="DefaultParagraphFont"/>
    <w:semiHidden/>
    <w:rsid w:val="006F23AB"/>
    <w:rPr>
      <w:strike w:val="0"/>
      <w:dstrike w:val="0"/>
      <w:color w:val="000000"/>
      <w:u w:val="none"/>
      <w:effect w:val="none"/>
    </w:rPr>
  </w:style>
  <w:style w:type="paragraph" w:styleId="Footer">
    <w:name w:val="footer"/>
    <w:basedOn w:val="Normal"/>
    <w:link w:val="FooterChar"/>
    <w:uiPriority w:val="99"/>
    <w:unhideWhenUsed/>
    <w:rsid w:val="006F23AB"/>
    <w:pPr>
      <w:tabs>
        <w:tab w:val="center" w:pos="4153"/>
        <w:tab w:val="right" w:pos="8306"/>
      </w:tabs>
    </w:pPr>
  </w:style>
  <w:style w:type="character" w:customStyle="1" w:styleId="FooterChar">
    <w:name w:val="Footer Char"/>
    <w:basedOn w:val="DefaultParagraphFont"/>
    <w:link w:val="Footer"/>
    <w:uiPriority w:val="99"/>
    <w:rsid w:val="006F23AB"/>
    <w:rPr>
      <w:rFonts w:eastAsia="Times New Roman" w:cs="Times New Roman"/>
      <w:szCs w:val="24"/>
      <w:lang w:val="en-GB"/>
    </w:rPr>
  </w:style>
  <w:style w:type="paragraph" w:styleId="ListParagraph">
    <w:name w:val="List Paragraph"/>
    <w:basedOn w:val="Normal"/>
    <w:uiPriority w:val="34"/>
    <w:qFormat/>
    <w:rsid w:val="006F23AB"/>
    <w:pPr>
      <w:ind w:left="720"/>
      <w:contextualSpacing/>
    </w:pPr>
  </w:style>
  <w:style w:type="paragraph" w:styleId="BodyTextIndent">
    <w:name w:val="Body Text Indent"/>
    <w:basedOn w:val="Normal"/>
    <w:link w:val="BodyTextIndentChar"/>
    <w:uiPriority w:val="99"/>
    <w:semiHidden/>
    <w:unhideWhenUsed/>
    <w:rsid w:val="006F23AB"/>
    <w:pPr>
      <w:spacing w:after="120"/>
      <w:ind w:left="283"/>
    </w:pPr>
  </w:style>
  <w:style w:type="character" w:customStyle="1" w:styleId="BodyTextIndentChar">
    <w:name w:val="Body Text Indent Char"/>
    <w:basedOn w:val="DefaultParagraphFont"/>
    <w:link w:val="BodyTextIndent"/>
    <w:uiPriority w:val="99"/>
    <w:semiHidden/>
    <w:rsid w:val="006F23AB"/>
    <w:rPr>
      <w:rFonts w:eastAsia="Times New Roman" w:cs="Times New Roman"/>
      <w:szCs w:val="24"/>
      <w:lang w:val="en-GB"/>
    </w:rPr>
  </w:style>
  <w:style w:type="paragraph" w:customStyle="1" w:styleId="Default">
    <w:name w:val="Default"/>
    <w:rsid w:val="00FF35BD"/>
    <w:pPr>
      <w:autoSpaceDE w:val="0"/>
      <w:autoSpaceDN w:val="0"/>
      <w:adjustRightInd w:val="0"/>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5745</Words>
  <Characters>3276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2018-04-16T13:51:00Z</dcterms:created>
  <dcterms:modified xsi:type="dcterms:W3CDTF">2018-04-19T12:08:00Z</dcterms:modified>
</cp:coreProperties>
</file>