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1C" w:rsidRPr="002B158C" w:rsidRDefault="00C87A1C" w:rsidP="00C87A1C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245EBF23" wp14:editId="61D760BA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1C" w:rsidRPr="00D05B67" w:rsidRDefault="00C87A1C" w:rsidP="00C87A1C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C87A1C" w:rsidRPr="002B158C" w:rsidRDefault="00C87A1C" w:rsidP="00C87A1C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C87A1C" w:rsidRPr="002B158C" w:rsidRDefault="00C87A1C" w:rsidP="00C87A1C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87A1C" w:rsidRPr="002B158C" w:rsidRDefault="00C87A1C" w:rsidP="00C87A1C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87A1C" w:rsidRPr="002B158C" w:rsidRDefault="00C87A1C" w:rsidP="00C87A1C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87A1C" w:rsidRPr="00AB0F75" w:rsidRDefault="00C87A1C" w:rsidP="00C87A1C">
      <w:pPr>
        <w:widowControl w:val="0"/>
        <w:suppressAutoHyphens/>
        <w:jc w:val="center"/>
        <w:rPr>
          <w:b/>
          <w:iCs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C87A1C" w:rsidRPr="002B158C" w:rsidRDefault="00C87A1C" w:rsidP="00C87A1C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C87A1C" w:rsidRPr="00A36082" w:rsidRDefault="00C87A1C" w:rsidP="00C87A1C">
      <w:pPr>
        <w:pStyle w:val="Heading1"/>
        <w:jc w:val="center"/>
        <w:rPr>
          <w:b w:val="0"/>
          <w:bCs/>
          <w:iCs/>
        </w:rPr>
      </w:pPr>
    </w:p>
    <w:p w:rsidR="00C87A1C" w:rsidRPr="002B158C" w:rsidRDefault="00C87A1C" w:rsidP="00C87A1C">
      <w:pPr>
        <w:pStyle w:val="Heading1"/>
        <w:jc w:val="center"/>
      </w:pPr>
      <w:r w:rsidRPr="00125EEF">
        <w:rPr>
          <w:i/>
        </w:rPr>
        <w:t>“</w:t>
      </w:r>
      <w:r w:rsidRPr="00997D9F">
        <w:rPr>
          <w:i/>
        </w:rPr>
        <w:t>Objekta “</w:t>
      </w:r>
      <w:r>
        <w:rPr>
          <w:i/>
          <w:color w:val="000000"/>
        </w:rPr>
        <w:t>Pasta un Ausekļa ielu pārbūve, Jēkabpilī” būvuzraudzības veikšana”</w:t>
      </w:r>
      <w:r w:rsidRPr="00382140">
        <w:rPr>
          <w:i/>
          <w:color w:val="000000"/>
        </w:rPr>
        <w:t>,</w:t>
      </w:r>
      <w:r w:rsidRPr="00382140">
        <w:rPr>
          <w:color w:val="000000"/>
        </w:rPr>
        <w:t xml:space="preserve"> </w:t>
      </w:r>
      <w:r w:rsidRPr="00382140">
        <w:rPr>
          <w:i/>
          <w:color w:val="000000"/>
        </w:rPr>
        <w:t>Identifikācijas Nr. JPP 201</w:t>
      </w:r>
      <w:r>
        <w:rPr>
          <w:i/>
          <w:color w:val="000000"/>
        </w:rPr>
        <w:t>8</w:t>
      </w:r>
      <w:r w:rsidRPr="00382140">
        <w:rPr>
          <w:i/>
          <w:color w:val="000000"/>
        </w:rPr>
        <w:t>/</w:t>
      </w:r>
      <w:r>
        <w:rPr>
          <w:i/>
          <w:color w:val="000000"/>
        </w:rPr>
        <w:t>10/ERAF</w:t>
      </w:r>
      <w:r w:rsidRPr="00382140">
        <w:rPr>
          <w:color w:val="000000"/>
        </w:rPr>
        <w:t xml:space="preserve"> </w:t>
      </w:r>
    </w:p>
    <w:p w:rsidR="00C87A1C" w:rsidRDefault="00C87A1C" w:rsidP="00C87A1C">
      <w:pPr>
        <w:pStyle w:val="Heading4"/>
        <w:rPr>
          <w:b w:val="0"/>
          <w:bCs/>
          <w:iCs/>
          <w:sz w:val="32"/>
          <w:szCs w:val="32"/>
        </w:rPr>
      </w:pPr>
    </w:p>
    <w:p w:rsidR="00C87A1C" w:rsidRPr="002B158C" w:rsidRDefault="00C87A1C" w:rsidP="00C87A1C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C87A1C" w:rsidRDefault="00C87A1C" w:rsidP="00C87A1C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>8.gada 14.martā</w:t>
      </w:r>
    </w:p>
    <w:p w:rsidR="00C87A1C" w:rsidRPr="002B158C" w:rsidRDefault="00C87A1C" w:rsidP="00C87A1C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C87A1C" w:rsidRPr="008069B5" w:rsidRDefault="00C87A1C" w:rsidP="008069B5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8069B5">
        <w:rPr>
          <w:b/>
          <w:bCs/>
          <w:lang w:val="lv-LV"/>
        </w:rPr>
        <w:t xml:space="preserve">Iepirkuma procedūras veids, iepirkuma priekšmets, iepirkuma identifikācijas numurs </w:t>
      </w:r>
      <w:r w:rsidRPr="008069B5">
        <w:rPr>
          <w:lang w:val="lv-LV"/>
        </w:rPr>
        <w:t>– Atklāts konkurss “Objekta “</w:t>
      </w:r>
      <w:r w:rsidRPr="008069B5">
        <w:rPr>
          <w:color w:val="000000"/>
          <w:lang w:val="lv-LV"/>
        </w:rPr>
        <w:t>Pasta un Ausekļa ielu pārbūve, Jēkabpilī” būvuzraudzības veikšana”, Identifikācijas Nr. JPP 2018/10/ERAF</w:t>
      </w:r>
      <w:r w:rsidRPr="008069B5">
        <w:rPr>
          <w:szCs w:val="20"/>
          <w:lang w:val="lv-LV"/>
        </w:rPr>
        <w:t>.</w:t>
      </w:r>
    </w:p>
    <w:p w:rsidR="002A1A56" w:rsidRDefault="002A1A56" w:rsidP="008069B5">
      <w:pPr>
        <w:ind w:left="720" w:right="-2"/>
        <w:jc w:val="both"/>
        <w:rPr>
          <w:lang w:val="lv-LV"/>
        </w:rPr>
      </w:pPr>
      <w:r>
        <w:rPr>
          <w:lang w:val="lv-LV"/>
        </w:rPr>
        <w:t>Publiskais iepirkums sadalīts 2 daļās :</w:t>
      </w:r>
    </w:p>
    <w:p w:rsidR="002A1A56" w:rsidRDefault="002A1A56" w:rsidP="008069B5">
      <w:pPr>
        <w:ind w:left="720" w:right="-2"/>
        <w:jc w:val="both"/>
        <w:rPr>
          <w:i/>
          <w:lang w:val="lv-LV"/>
        </w:rPr>
      </w:pPr>
      <w:r w:rsidRPr="002A1A56">
        <w:rPr>
          <w:lang w:val="lv-LV"/>
        </w:rPr>
        <w:t>1.daļa</w:t>
      </w:r>
      <w:r w:rsidRPr="002A1A56">
        <w:rPr>
          <w:i/>
          <w:lang w:val="lv-LV"/>
        </w:rPr>
        <w:t xml:space="preserve"> - “Objekta “Pasta ielas pārbūve, Jēkabpilī” būvuzraudzības veikšana”</w:t>
      </w:r>
      <w:r>
        <w:rPr>
          <w:i/>
          <w:lang w:val="lv-LV"/>
        </w:rPr>
        <w:t>,</w:t>
      </w:r>
    </w:p>
    <w:p w:rsidR="002A1A56" w:rsidRPr="002A1A56" w:rsidRDefault="002A1A56" w:rsidP="008069B5">
      <w:pPr>
        <w:ind w:left="720" w:right="-2"/>
        <w:jc w:val="both"/>
        <w:rPr>
          <w:lang w:val="lv-LV"/>
        </w:rPr>
      </w:pPr>
      <w:r>
        <w:rPr>
          <w:lang w:val="lv-LV"/>
        </w:rPr>
        <w:t xml:space="preserve">2.daļa - </w:t>
      </w:r>
      <w:r w:rsidRPr="002A1A56">
        <w:rPr>
          <w:i/>
          <w:lang w:val="lv-LV"/>
        </w:rPr>
        <w:t>“Objekta “Ausekļa ielas pārbūve, Jēkabpilī” būvuzraudzības veikšana”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05.02.2018.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C87A1C" w:rsidRPr="002B158C" w:rsidRDefault="00C87A1C" w:rsidP="00C87A1C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C87A1C" w:rsidRDefault="00C87A1C" w:rsidP="00C87A1C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Barkāns.</w:t>
      </w:r>
    </w:p>
    <w:p w:rsidR="00C87A1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C87A1C" w:rsidRDefault="00C87A1C" w:rsidP="00C87A1C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Pilsētsaimniecības departamenta direktors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>;</w:t>
      </w:r>
      <w:r w:rsidRPr="009C3AD7">
        <w:rPr>
          <w:lang w:val="lv-LV"/>
        </w:rPr>
        <w:t xml:space="preserve"> </w:t>
      </w:r>
    </w:p>
    <w:p w:rsidR="00C87A1C" w:rsidRDefault="00C87A1C" w:rsidP="00C87A1C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>Būvniecības un komunālās saimniecības nodaļas vadītāja Anita Vanaga;</w:t>
      </w:r>
      <w:r w:rsidRPr="009C3AD7">
        <w:rPr>
          <w:lang w:val="lv-LV"/>
        </w:rPr>
        <w:t xml:space="preserve"> </w:t>
      </w:r>
    </w:p>
    <w:p w:rsidR="00C87A1C" w:rsidRDefault="00C87A1C" w:rsidP="00C87A1C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Attīstības un investīciju nodaļas vadītāja Sandra </w:t>
      </w:r>
      <w:proofErr w:type="spellStart"/>
      <w:r>
        <w:rPr>
          <w:lang w:val="lv-LV"/>
        </w:rPr>
        <w:t>Gogule</w:t>
      </w:r>
      <w:proofErr w:type="spellEnd"/>
      <w:r>
        <w:rPr>
          <w:lang w:val="lv-LV"/>
        </w:rPr>
        <w:t>.</w:t>
      </w:r>
      <w:r w:rsidRPr="009C3AD7">
        <w:rPr>
          <w:lang w:val="lv-LV"/>
        </w:rPr>
        <w:t xml:space="preserve"> 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2018.gada 26.februārim</w:t>
      </w:r>
      <w:r w:rsidRPr="002B158C">
        <w:rPr>
          <w:bCs/>
          <w:lang w:val="lv-LV"/>
        </w:rPr>
        <w:t xml:space="preserve"> plkst. 1</w:t>
      </w:r>
      <w:r w:rsidR="008069B5">
        <w:rPr>
          <w:bCs/>
          <w:lang w:val="lv-LV"/>
        </w:rPr>
        <w:t>1</w:t>
      </w:r>
      <w:r w:rsidRPr="002B158C">
        <w:rPr>
          <w:bCs/>
          <w:lang w:val="lv-LV"/>
        </w:rPr>
        <w:t>.00.</w:t>
      </w:r>
    </w:p>
    <w:p w:rsidR="00C87A1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3A06DC">
        <w:rPr>
          <w:b/>
          <w:lang w:val="lv-LV"/>
        </w:rPr>
        <w:t>Piegādātāju nosaukumi, kuri ir iesnieguši piedāvājumus, kā arī piedāvātās cenas:</w:t>
      </w:r>
    </w:p>
    <w:p w:rsidR="008069B5" w:rsidRPr="008069B5" w:rsidRDefault="008069B5" w:rsidP="008069B5">
      <w:pPr>
        <w:ind w:left="360" w:right="-2"/>
        <w:jc w:val="both"/>
        <w:rPr>
          <w:b/>
          <w:lang w:val="lv-LV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559"/>
        <w:gridCol w:w="3402"/>
      </w:tblGrid>
      <w:tr w:rsidR="006871B3" w:rsidRPr="00F12851" w:rsidTr="00FF4DA8">
        <w:tc>
          <w:tcPr>
            <w:tcW w:w="708" w:type="dxa"/>
            <w:shd w:val="clear" w:color="auto" w:fill="E7E6E6" w:themeFill="background2"/>
          </w:tcPr>
          <w:p w:rsidR="006871B3" w:rsidRPr="005D1FF3" w:rsidRDefault="006871B3" w:rsidP="008069B5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Nr.</w:t>
            </w:r>
          </w:p>
          <w:p w:rsidR="006871B3" w:rsidRPr="005D1FF3" w:rsidRDefault="006871B3" w:rsidP="008069B5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p.k.</w:t>
            </w:r>
          </w:p>
        </w:tc>
        <w:tc>
          <w:tcPr>
            <w:tcW w:w="3687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Pretendents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r w:rsidRPr="005D1FF3">
              <w:rPr>
                <w:lang w:val="lv-LV"/>
              </w:rPr>
              <w:t xml:space="preserve">(nosaukums, </w:t>
            </w: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 Nr., adrese)</w:t>
            </w:r>
          </w:p>
        </w:tc>
        <w:tc>
          <w:tcPr>
            <w:tcW w:w="1559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Piedāvājuma                  iesniegšanas</w:t>
            </w:r>
          </w:p>
          <w:p w:rsidR="006871B3" w:rsidRPr="005D1FF3" w:rsidRDefault="006871B3" w:rsidP="00FF4DA8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datums un                            laiks</w:t>
            </w:r>
          </w:p>
        </w:tc>
        <w:tc>
          <w:tcPr>
            <w:tcW w:w="3402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1FF3">
              <w:rPr>
                <w:b/>
                <w:bCs/>
                <w:color w:val="000000"/>
                <w:lang w:val="lv-LV"/>
              </w:rPr>
              <w:t>līgumcena</w:t>
            </w:r>
          </w:p>
          <w:p w:rsidR="006871B3" w:rsidRPr="003B054D" w:rsidRDefault="006871B3" w:rsidP="00FF4DA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</w:tc>
      </w:tr>
      <w:tr w:rsidR="006871B3" w:rsidRPr="00F12851" w:rsidTr="00FF4DA8">
        <w:tc>
          <w:tcPr>
            <w:tcW w:w="708" w:type="dxa"/>
          </w:tcPr>
          <w:p w:rsidR="006871B3" w:rsidRDefault="006871B3" w:rsidP="00FF4DA8">
            <w:pPr>
              <w:pStyle w:val="BodyText"/>
              <w:ind w:right="43"/>
              <w:jc w:val="center"/>
            </w:pPr>
          </w:p>
          <w:p w:rsidR="006871B3" w:rsidRPr="005D1FF3" w:rsidRDefault="006871B3" w:rsidP="00FF4DA8">
            <w:pPr>
              <w:pStyle w:val="BodyText"/>
              <w:ind w:right="43"/>
              <w:jc w:val="center"/>
            </w:pPr>
            <w:r>
              <w:t>1.</w:t>
            </w:r>
          </w:p>
        </w:tc>
        <w:tc>
          <w:tcPr>
            <w:tcW w:w="3687" w:type="dxa"/>
          </w:tcPr>
          <w:p w:rsidR="006871B3" w:rsidRDefault="006871B3" w:rsidP="00FF4DA8">
            <w:pPr>
              <w:ind w:left="-107" w:right="-108"/>
              <w:jc w:val="center"/>
              <w:rPr>
                <w:b/>
                <w:lang w:val="lv-LV"/>
              </w:rPr>
            </w:pPr>
            <w:r w:rsidRPr="00942304">
              <w:rPr>
                <w:b/>
                <w:lang w:val="lv-LV"/>
              </w:rPr>
              <w:t>SIA “</w:t>
            </w:r>
            <w:proofErr w:type="spellStart"/>
            <w:r w:rsidRPr="00942304">
              <w:rPr>
                <w:b/>
                <w:lang w:val="lv-LV"/>
              </w:rPr>
              <w:t>RoadLat</w:t>
            </w:r>
            <w:proofErr w:type="spellEnd"/>
            <w:r w:rsidRPr="00942304">
              <w:rPr>
                <w:b/>
                <w:lang w:val="lv-LV"/>
              </w:rPr>
              <w:t>”</w:t>
            </w:r>
          </w:p>
          <w:p w:rsidR="006871B3" w:rsidRDefault="006871B3" w:rsidP="00FF4DA8">
            <w:pPr>
              <w:ind w:left="-107" w:right="-108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>. Nr. 40103958054,</w:t>
            </w:r>
          </w:p>
          <w:p w:rsidR="006871B3" w:rsidRPr="00942304" w:rsidRDefault="006871B3" w:rsidP="00FF4DA8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Lilijas iela 21-23, Rīga, LV-1055</w:t>
            </w:r>
          </w:p>
        </w:tc>
        <w:tc>
          <w:tcPr>
            <w:tcW w:w="1559" w:type="dxa"/>
          </w:tcPr>
          <w:p w:rsidR="006871B3" w:rsidRDefault="006871B3" w:rsidP="00FF4DA8">
            <w:pPr>
              <w:ind w:right="-108"/>
              <w:jc w:val="center"/>
              <w:rPr>
                <w:lang w:val="lv-LV"/>
              </w:rPr>
            </w:pPr>
          </w:p>
          <w:p w:rsidR="006871B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23.02.2018.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plkst.10:11</w:t>
            </w:r>
          </w:p>
        </w:tc>
        <w:tc>
          <w:tcPr>
            <w:tcW w:w="3402" w:type="dxa"/>
          </w:tcPr>
          <w:p w:rsidR="006871B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</w:p>
          <w:p w:rsidR="006871B3" w:rsidRPr="005D1FF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2.daļa - </w:t>
            </w:r>
            <w:r w:rsidRPr="00F12851">
              <w:rPr>
                <w:bCs/>
                <w:lang w:val="lv-LV"/>
              </w:rPr>
              <w:t xml:space="preserve">EUR </w:t>
            </w:r>
            <w:r>
              <w:rPr>
                <w:bCs/>
                <w:lang w:val="lv-LV"/>
              </w:rPr>
              <w:t>28 880,00</w:t>
            </w:r>
          </w:p>
        </w:tc>
      </w:tr>
      <w:tr w:rsidR="006871B3" w:rsidRPr="00F12851" w:rsidTr="00FF4DA8">
        <w:tc>
          <w:tcPr>
            <w:tcW w:w="708" w:type="dxa"/>
          </w:tcPr>
          <w:p w:rsidR="006871B3" w:rsidRPr="005D1FF3" w:rsidRDefault="006871B3" w:rsidP="00FF4DA8">
            <w:pPr>
              <w:pStyle w:val="BodyText"/>
              <w:ind w:right="43"/>
              <w:jc w:val="center"/>
            </w:pPr>
          </w:p>
          <w:p w:rsidR="006871B3" w:rsidRPr="005D1FF3" w:rsidRDefault="006871B3" w:rsidP="00FF4DA8">
            <w:pPr>
              <w:pStyle w:val="BodyText"/>
              <w:ind w:right="43"/>
              <w:jc w:val="center"/>
            </w:pPr>
            <w:r>
              <w:t>2</w:t>
            </w:r>
            <w:r w:rsidRPr="005D1FF3">
              <w:t>.</w:t>
            </w:r>
          </w:p>
        </w:tc>
        <w:tc>
          <w:tcPr>
            <w:tcW w:w="3687" w:type="dxa"/>
          </w:tcPr>
          <w:p w:rsidR="006871B3" w:rsidRDefault="006871B3" w:rsidP="00FF4DA8">
            <w:pPr>
              <w:ind w:left="-107" w:right="-108"/>
              <w:jc w:val="center"/>
              <w:rPr>
                <w:b/>
                <w:lang w:val="lv-LV"/>
              </w:rPr>
            </w:pPr>
            <w:r w:rsidRPr="00F12851">
              <w:rPr>
                <w:b/>
                <w:lang w:val="lv-LV"/>
              </w:rPr>
              <w:t>SIA “K-RDB”</w:t>
            </w:r>
          </w:p>
          <w:p w:rsidR="006871B3" w:rsidRDefault="006871B3" w:rsidP="00FF4DA8">
            <w:pPr>
              <w:ind w:left="-107" w:right="-108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>. Nr. 45403013690,</w:t>
            </w:r>
          </w:p>
          <w:p w:rsidR="006871B3" w:rsidRDefault="006871B3" w:rsidP="00FF4DA8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Draudzības aleja 19-58, Jēkabpils,</w:t>
            </w:r>
          </w:p>
          <w:p w:rsidR="006871B3" w:rsidRPr="00F12851" w:rsidRDefault="006871B3" w:rsidP="00FF4DA8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LV-5201</w:t>
            </w:r>
          </w:p>
        </w:tc>
        <w:tc>
          <w:tcPr>
            <w:tcW w:w="1559" w:type="dxa"/>
          </w:tcPr>
          <w:p w:rsidR="006871B3" w:rsidRDefault="006871B3" w:rsidP="00FF4DA8">
            <w:pPr>
              <w:ind w:right="-108"/>
              <w:jc w:val="center"/>
              <w:rPr>
                <w:lang w:val="lv-LV"/>
              </w:rPr>
            </w:pPr>
          </w:p>
          <w:p w:rsidR="006871B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26.02.2018.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plkst.10:48</w:t>
            </w:r>
          </w:p>
        </w:tc>
        <w:tc>
          <w:tcPr>
            <w:tcW w:w="3402" w:type="dxa"/>
          </w:tcPr>
          <w:p w:rsidR="006871B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</w:p>
          <w:p w:rsidR="006871B3" w:rsidRPr="00662D7A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1.daļa - EUR</w:t>
            </w:r>
            <w:r w:rsidRPr="00662D7A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39 606,00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</w:p>
        </w:tc>
      </w:tr>
    </w:tbl>
    <w:p w:rsidR="006871B3" w:rsidRDefault="006871B3" w:rsidP="006871B3">
      <w:pPr>
        <w:ind w:firstLine="720"/>
        <w:rPr>
          <w:lang w:val="lv-LV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559"/>
        <w:gridCol w:w="3402"/>
      </w:tblGrid>
      <w:tr w:rsidR="006871B3" w:rsidRPr="006871B3" w:rsidTr="00FF4DA8">
        <w:tc>
          <w:tcPr>
            <w:tcW w:w="708" w:type="dxa"/>
            <w:shd w:val="clear" w:color="auto" w:fill="E7E6E6" w:themeFill="background2"/>
          </w:tcPr>
          <w:p w:rsidR="006871B3" w:rsidRPr="005D1FF3" w:rsidRDefault="006871B3" w:rsidP="00FF4DA8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lastRenderedPageBreak/>
              <w:t>Nr.</w:t>
            </w:r>
          </w:p>
          <w:p w:rsidR="006871B3" w:rsidRPr="005D1FF3" w:rsidRDefault="006871B3" w:rsidP="00FF4DA8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p.k.</w:t>
            </w:r>
          </w:p>
        </w:tc>
        <w:tc>
          <w:tcPr>
            <w:tcW w:w="3687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Pretendents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r w:rsidRPr="005D1FF3">
              <w:rPr>
                <w:lang w:val="lv-LV"/>
              </w:rPr>
              <w:t xml:space="preserve">(nosaukums, </w:t>
            </w: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 Nr., adrese)</w:t>
            </w:r>
          </w:p>
        </w:tc>
        <w:tc>
          <w:tcPr>
            <w:tcW w:w="1559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Piedāvājuma                  iesniegšanas</w:t>
            </w:r>
          </w:p>
          <w:p w:rsidR="006871B3" w:rsidRPr="005D1FF3" w:rsidRDefault="006871B3" w:rsidP="00FF4DA8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datums un                            laiks</w:t>
            </w:r>
          </w:p>
        </w:tc>
        <w:tc>
          <w:tcPr>
            <w:tcW w:w="3402" w:type="dxa"/>
            <w:shd w:val="clear" w:color="auto" w:fill="E7E6E6" w:themeFill="background2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1FF3">
              <w:rPr>
                <w:b/>
                <w:bCs/>
                <w:color w:val="000000"/>
                <w:lang w:val="lv-LV"/>
              </w:rPr>
              <w:t>līgumcena</w:t>
            </w:r>
          </w:p>
          <w:p w:rsidR="006871B3" w:rsidRPr="003B054D" w:rsidRDefault="006871B3" w:rsidP="00FF4DA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</w:tc>
      </w:tr>
      <w:tr w:rsidR="006871B3" w:rsidRPr="005D1FF3" w:rsidTr="00FF4DA8">
        <w:tc>
          <w:tcPr>
            <w:tcW w:w="708" w:type="dxa"/>
          </w:tcPr>
          <w:p w:rsidR="006871B3" w:rsidRDefault="006871B3" w:rsidP="00FF4DA8">
            <w:pPr>
              <w:pStyle w:val="BodyText"/>
              <w:ind w:right="43"/>
              <w:jc w:val="center"/>
            </w:pPr>
          </w:p>
          <w:p w:rsidR="006871B3" w:rsidRPr="005D1FF3" w:rsidRDefault="006871B3" w:rsidP="00FF4DA8">
            <w:pPr>
              <w:pStyle w:val="BodyText"/>
              <w:ind w:right="43"/>
              <w:jc w:val="center"/>
            </w:pPr>
            <w:r>
              <w:t>3.</w:t>
            </w:r>
          </w:p>
        </w:tc>
        <w:tc>
          <w:tcPr>
            <w:tcW w:w="3687" w:type="dxa"/>
          </w:tcPr>
          <w:p w:rsidR="006871B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</w:t>
            </w:r>
            <w:proofErr w:type="spellStart"/>
            <w:r>
              <w:rPr>
                <w:b/>
                <w:lang w:val="lv-LV"/>
              </w:rPr>
              <w:t>Isliena</w:t>
            </w:r>
            <w:proofErr w:type="spellEnd"/>
            <w:r>
              <w:rPr>
                <w:b/>
                <w:lang w:val="lv-LV"/>
              </w:rPr>
              <w:t xml:space="preserve"> V”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Pr="005D1FF3">
              <w:rPr>
                <w:lang w:val="lv-LV"/>
              </w:rPr>
              <w:t xml:space="preserve">Nr. </w:t>
            </w:r>
            <w:r>
              <w:rPr>
                <w:lang w:val="lv-LV"/>
              </w:rPr>
              <w:t>50002043631</w:t>
            </w:r>
            <w:r w:rsidRPr="005D1FF3">
              <w:rPr>
                <w:lang w:val="lv-LV"/>
              </w:rPr>
              <w:t>,</w:t>
            </w:r>
          </w:p>
          <w:p w:rsidR="006871B3" w:rsidRPr="005D1FF3" w:rsidRDefault="006871B3" w:rsidP="00FF4DA8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Maskavas iela 240-3, Rīga, LV-1063</w:t>
            </w:r>
          </w:p>
        </w:tc>
        <w:tc>
          <w:tcPr>
            <w:tcW w:w="1559" w:type="dxa"/>
          </w:tcPr>
          <w:p w:rsidR="006871B3" w:rsidRPr="005D1FF3" w:rsidRDefault="006871B3" w:rsidP="00FF4DA8">
            <w:pPr>
              <w:ind w:right="-108"/>
              <w:jc w:val="center"/>
              <w:rPr>
                <w:b/>
                <w:lang w:val="lv-LV"/>
              </w:rPr>
            </w:pPr>
          </w:p>
          <w:p w:rsidR="006871B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26.02.2018.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plkst.10:56</w:t>
            </w:r>
          </w:p>
        </w:tc>
        <w:tc>
          <w:tcPr>
            <w:tcW w:w="3402" w:type="dxa"/>
          </w:tcPr>
          <w:p w:rsidR="006871B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</w:p>
          <w:p w:rsidR="006871B3" w:rsidRPr="00662D7A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1.daļa - EUR</w:t>
            </w:r>
            <w:r w:rsidRPr="00662D7A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85 900,00</w:t>
            </w:r>
          </w:p>
          <w:p w:rsidR="006871B3" w:rsidRPr="005D1FF3" w:rsidRDefault="006871B3" w:rsidP="00FF4DA8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2.daļa - </w:t>
            </w:r>
            <w:r w:rsidRPr="00F12851">
              <w:rPr>
                <w:bCs/>
                <w:lang w:val="lv-LV"/>
              </w:rPr>
              <w:t xml:space="preserve">EUR </w:t>
            </w:r>
            <w:r>
              <w:rPr>
                <w:bCs/>
                <w:lang w:val="lv-LV"/>
              </w:rPr>
              <w:t>21 000,00</w:t>
            </w:r>
          </w:p>
        </w:tc>
      </w:tr>
    </w:tbl>
    <w:p w:rsidR="00C87A1C" w:rsidRPr="004225BF" w:rsidRDefault="00C87A1C" w:rsidP="00C87A1C">
      <w:pPr>
        <w:ind w:left="360" w:right="-2"/>
        <w:jc w:val="both"/>
        <w:rPr>
          <w:b/>
          <w:lang w:val="lv-LV"/>
        </w:rPr>
      </w:pPr>
    </w:p>
    <w:p w:rsidR="00C87A1C" w:rsidRPr="008069B5" w:rsidRDefault="00C87A1C" w:rsidP="008069B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8069B5">
        <w:rPr>
          <w:b/>
          <w:lang w:val="lv-LV"/>
        </w:rPr>
        <w:t xml:space="preserve">Piedāvājumu atvēršanas vieta, datums un laiks – </w:t>
      </w:r>
      <w:r w:rsidRPr="008069B5">
        <w:rPr>
          <w:lang w:val="lv-LV"/>
        </w:rPr>
        <w:t xml:space="preserve">Jēkabpils pilsētas pašvaldība, 209.kab., </w:t>
      </w:r>
      <w:r w:rsidRPr="008069B5">
        <w:rPr>
          <w:bCs/>
          <w:lang w:val="lv-LV"/>
        </w:rPr>
        <w:t xml:space="preserve">2018.gada </w:t>
      </w:r>
      <w:r w:rsidR="006871B3" w:rsidRPr="008069B5">
        <w:rPr>
          <w:bCs/>
          <w:lang w:val="lv-LV"/>
        </w:rPr>
        <w:t>26</w:t>
      </w:r>
      <w:r w:rsidRPr="008069B5">
        <w:rPr>
          <w:bCs/>
          <w:lang w:val="lv-LV"/>
        </w:rPr>
        <w:t>.februārī plkst. 1</w:t>
      </w:r>
      <w:r w:rsidR="002A1A56" w:rsidRPr="008069B5">
        <w:rPr>
          <w:bCs/>
          <w:lang w:val="lv-LV"/>
        </w:rPr>
        <w:t>1</w:t>
      </w:r>
      <w:r w:rsidRPr="008069B5">
        <w:rPr>
          <w:bCs/>
          <w:lang w:val="lv-LV"/>
        </w:rPr>
        <w:t>.00.</w:t>
      </w:r>
    </w:p>
    <w:p w:rsidR="00C87A1C" w:rsidRPr="002A1A56" w:rsidRDefault="00C87A1C" w:rsidP="002A1A5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A1A56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1984"/>
        <w:gridCol w:w="3686"/>
      </w:tblGrid>
      <w:tr w:rsidR="00C87A1C" w:rsidRPr="002B158C" w:rsidTr="00FF4DA8">
        <w:tc>
          <w:tcPr>
            <w:tcW w:w="708" w:type="dxa"/>
            <w:shd w:val="clear" w:color="auto" w:fill="D9D9D9" w:themeFill="background1" w:themeFillShade="D9"/>
          </w:tcPr>
          <w:p w:rsidR="00C87A1C" w:rsidRPr="00D13622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87A1C" w:rsidRPr="00D13622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Nr.</w:t>
            </w:r>
          </w:p>
          <w:p w:rsidR="00C87A1C" w:rsidRPr="00D13622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p.k.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C87A1C" w:rsidRPr="00D13622" w:rsidRDefault="00C87A1C" w:rsidP="00FF4DA8">
            <w:pPr>
              <w:ind w:right="-108"/>
              <w:jc w:val="center"/>
              <w:rPr>
                <w:lang w:val="lv-LV"/>
              </w:rPr>
            </w:pPr>
          </w:p>
          <w:p w:rsidR="00C87A1C" w:rsidRPr="00D13622" w:rsidRDefault="00C87A1C" w:rsidP="00FF4DA8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Pretendenta nosaukums</w:t>
            </w:r>
          </w:p>
          <w:p w:rsidR="00C87A1C" w:rsidRPr="00D13622" w:rsidRDefault="00C87A1C" w:rsidP="00FF4DA8">
            <w:pPr>
              <w:ind w:right="-108"/>
              <w:rPr>
                <w:lang w:val="lv-LV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C87A1C" w:rsidRPr="00D13622" w:rsidRDefault="00C87A1C" w:rsidP="00FF4DA8">
            <w:pPr>
              <w:ind w:right="-108"/>
              <w:jc w:val="center"/>
              <w:rPr>
                <w:bCs/>
                <w:lang w:val="lv-LV"/>
              </w:rPr>
            </w:pPr>
            <w:r w:rsidRPr="00D13622">
              <w:rPr>
                <w:bCs/>
                <w:lang w:val="lv-LV"/>
              </w:rPr>
              <w:t>Piedāvātā</w:t>
            </w:r>
          </w:p>
          <w:p w:rsidR="00C87A1C" w:rsidRPr="00D13622" w:rsidRDefault="00C87A1C" w:rsidP="00FF4DA8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līgumcena, </w:t>
            </w:r>
          </w:p>
          <w:p w:rsidR="00C87A1C" w:rsidRPr="00D13622" w:rsidRDefault="00C87A1C" w:rsidP="00FF4DA8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EUR </w:t>
            </w:r>
            <w:r w:rsidRPr="00D13622">
              <w:rPr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87A1C" w:rsidRPr="00D13622" w:rsidRDefault="00C87A1C" w:rsidP="00FF4DA8">
            <w:pPr>
              <w:ind w:right="-108"/>
              <w:jc w:val="center"/>
              <w:rPr>
                <w:lang w:val="lv-LV"/>
              </w:rPr>
            </w:pPr>
          </w:p>
          <w:p w:rsidR="00C87A1C" w:rsidRPr="00D13622" w:rsidRDefault="00C87A1C" w:rsidP="00FF4DA8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Piedāvājuma izvēles pamatojums</w:t>
            </w:r>
          </w:p>
        </w:tc>
      </w:tr>
      <w:tr w:rsidR="00C87A1C" w:rsidRPr="008069B5" w:rsidTr="00FF4DA8">
        <w:tc>
          <w:tcPr>
            <w:tcW w:w="708" w:type="dxa"/>
          </w:tcPr>
          <w:p w:rsidR="00C87A1C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3120" w:type="dxa"/>
          </w:tcPr>
          <w:p w:rsidR="00C87A1C" w:rsidRDefault="00C87A1C" w:rsidP="00FF4DA8">
            <w:pPr>
              <w:ind w:right="-2"/>
              <w:rPr>
                <w:b/>
                <w:bCs/>
                <w:lang w:val="lv-LV"/>
              </w:rPr>
            </w:pPr>
          </w:p>
          <w:p w:rsidR="00C87A1C" w:rsidRPr="00382140" w:rsidRDefault="00C87A1C" w:rsidP="00FF4DA8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r w:rsidR="002A1A56">
              <w:rPr>
                <w:b/>
                <w:bCs/>
                <w:lang w:val="lv-LV"/>
              </w:rPr>
              <w:t>K-RDB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C87A1C" w:rsidRPr="005D50D7" w:rsidRDefault="00C87A1C" w:rsidP="00FF4DA8">
            <w:pPr>
              <w:tabs>
                <w:tab w:val="left" w:pos="0"/>
              </w:tabs>
              <w:ind w:right="43"/>
              <w:rPr>
                <w:b/>
                <w:lang w:val="lv-LV"/>
              </w:rPr>
            </w:pPr>
          </w:p>
        </w:tc>
        <w:tc>
          <w:tcPr>
            <w:tcW w:w="1984" w:type="dxa"/>
          </w:tcPr>
          <w:p w:rsidR="00C87A1C" w:rsidRDefault="00C87A1C" w:rsidP="00FF4DA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C87A1C" w:rsidRDefault="00C87A1C" w:rsidP="00FF4DA8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1.daļa </w:t>
            </w:r>
            <w:r w:rsidR="002A1A5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 w:rsidR="002A1A56">
              <w:rPr>
                <w:b/>
                <w:color w:val="000000"/>
              </w:rPr>
              <w:t>39 606,00</w:t>
            </w:r>
          </w:p>
          <w:p w:rsidR="00C87A1C" w:rsidRPr="005D50D7" w:rsidRDefault="00C87A1C" w:rsidP="002A1A56">
            <w:pPr>
              <w:pStyle w:val="BodyText"/>
              <w:ind w:right="-2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Saimnieciski visizdevīgākais piedāvājums</w:t>
            </w:r>
            <w:r w:rsidRPr="002B158C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kurš noteikts, ņemot vērā cenu, un, </w:t>
            </w:r>
            <w:r w:rsidRPr="002B158C">
              <w:rPr>
                <w:lang w:val="lv-LV"/>
              </w:rPr>
              <w:t xml:space="preserve">kas atbilst </w:t>
            </w:r>
            <w:r>
              <w:rPr>
                <w:lang w:val="lv-LV"/>
              </w:rPr>
              <w:t>atklātā konkursa</w:t>
            </w:r>
            <w:r w:rsidRPr="002B158C">
              <w:rPr>
                <w:lang w:val="lv-LV"/>
              </w:rPr>
              <w:t xml:space="preserve"> nolikuma prasībām</w:t>
            </w:r>
          </w:p>
        </w:tc>
      </w:tr>
      <w:tr w:rsidR="00C87A1C" w:rsidRPr="008069B5" w:rsidTr="00FF4DA8">
        <w:tc>
          <w:tcPr>
            <w:tcW w:w="708" w:type="dxa"/>
          </w:tcPr>
          <w:p w:rsidR="00C87A1C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3120" w:type="dxa"/>
          </w:tcPr>
          <w:p w:rsidR="00C87A1C" w:rsidRDefault="00C87A1C" w:rsidP="00FF4DA8">
            <w:pPr>
              <w:ind w:right="-2"/>
              <w:rPr>
                <w:b/>
                <w:bCs/>
                <w:lang w:val="lv-LV"/>
              </w:rPr>
            </w:pPr>
          </w:p>
          <w:p w:rsidR="00C87A1C" w:rsidRPr="00382140" w:rsidRDefault="00C87A1C" w:rsidP="00FF4DA8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proofErr w:type="spellStart"/>
            <w:r w:rsidR="002A1A56">
              <w:rPr>
                <w:b/>
                <w:bCs/>
                <w:lang w:val="lv-LV"/>
              </w:rPr>
              <w:t>Isliena</w:t>
            </w:r>
            <w:proofErr w:type="spellEnd"/>
            <w:r w:rsidR="002A1A56">
              <w:rPr>
                <w:b/>
                <w:bCs/>
                <w:lang w:val="lv-LV"/>
              </w:rPr>
              <w:t xml:space="preserve"> V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C87A1C" w:rsidRPr="005D50D7" w:rsidRDefault="00C87A1C" w:rsidP="00FF4DA8">
            <w:pPr>
              <w:tabs>
                <w:tab w:val="left" w:pos="0"/>
              </w:tabs>
              <w:ind w:right="43"/>
              <w:rPr>
                <w:b/>
                <w:lang w:val="lv-LV"/>
              </w:rPr>
            </w:pPr>
          </w:p>
        </w:tc>
        <w:tc>
          <w:tcPr>
            <w:tcW w:w="1984" w:type="dxa"/>
          </w:tcPr>
          <w:p w:rsidR="00C87A1C" w:rsidRDefault="00C87A1C" w:rsidP="00FF4DA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2A1A56" w:rsidRDefault="00C87A1C" w:rsidP="00FF4DA8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2.daļa </w:t>
            </w:r>
            <w:r w:rsidR="002A1A5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</w:p>
          <w:p w:rsidR="00C87A1C" w:rsidRDefault="002A1A56" w:rsidP="00FF4DA8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21 000,00</w:t>
            </w:r>
          </w:p>
          <w:p w:rsidR="00C87A1C" w:rsidRPr="005D50D7" w:rsidRDefault="00C87A1C" w:rsidP="00FF4DA8">
            <w:pPr>
              <w:pStyle w:val="BodyText"/>
              <w:ind w:right="-2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Saimnieciski visizdevīgākais piedāvājums</w:t>
            </w:r>
            <w:r w:rsidRPr="002B158C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kurš noteikts, ņemot vērā cenu, un, </w:t>
            </w:r>
            <w:r w:rsidRPr="002B158C">
              <w:rPr>
                <w:lang w:val="lv-LV"/>
              </w:rPr>
              <w:t xml:space="preserve">kas atbilst </w:t>
            </w:r>
            <w:r>
              <w:rPr>
                <w:lang w:val="lv-LV"/>
              </w:rPr>
              <w:t>atklātā konkursa</w:t>
            </w:r>
            <w:r w:rsidRPr="002B158C">
              <w:rPr>
                <w:lang w:val="lv-LV"/>
              </w:rPr>
              <w:t xml:space="preserve"> nolikuma prasībām</w:t>
            </w:r>
          </w:p>
        </w:tc>
      </w:tr>
    </w:tbl>
    <w:p w:rsidR="00C87A1C" w:rsidRPr="00EF3A24" w:rsidRDefault="00C87A1C" w:rsidP="00C87A1C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EF3A24">
        <w:rPr>
          <w:b/>
          <w:lang w:val="lv-LV"/>
        </w:rPr>
        <w:t>Piedāvājumu izvērtēšanas kopsavilkums:</w:t>
      </w:r>
      <w:r w:rsidRPr="00EF3A24">
        <w:rPr>
          <w:lang w:val="lv-LV"/>
        </w:rPr>
        <w:t xml:space="preserve"> Iepirkuma komisija veica pretendentu  iesniegto piedāvājumu pārbaudi saskaņā ar publiskā iepirkuma nolikuma prasībām secīgi šādos posmos: </w:t>
      </w:r>
    </w:p>
    <w:p w:rsidR="00C87A1C" w:rsidRPr="002B158C" w:rsidRDefault="00C87A1C" w:rsidP="00C87A1C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</w:t>
      </w:r>
      <w:r w:rsidRPr="002B158C">
        <w:rPr>
          <w:lang w:val="lv-LV"/>
        </w:rPr>
        <w:t xml:space="preserve">; </w:t>
      </w:r>
    </w:p>
    <w:p w:rsidR="00C87A1C" w:rsidRPr="002B158C" w:rsidRDefault="00C87A1C" w:rsidP="00C87A1C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Tehnisk</w:t>
      </w:r>
      <w:r>
        <w:rPr>
          <w:lang w:val="lv-LV"/>
        </w:rPr>
        <w:t>o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>
        <w:rPr>
          <w:lang w:val="lv-LV"/>
        </w:rPr>
        <w:t xml:space="preserve"> (Nolikuma 1</w:t>
      </w:r>
      <w:r w:rsidR="002A1A56">
        <w:rPr>
          <w:lang w:val="lv-LV"/>
        </w:rPr>
        <w:t>7</w:t>
      </w:r>
      <w:r>
        <w:rPr>
          <w:lang w:val="lv-LV"/>
        </w:rPr>
        <w:t>.1.apakšpunkts)</w:t>
      </w:r>
      <w:r w:rsidRPr="002B158C">
        <w:rPr>
          <w:lang w:val="lv-LV"/>
        </w:rPr>
        <w:t>;</w:t>
      </w:r>
    </w:p>
    <w:p w:rsidR="00C87A1C" w:rsidRDefault="00C87A1C" w:rsidP="00C87A1C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Finanšu piedāvājumu atbilstības pārbaude</w:t>
      </w:r>
      <w:r>
        <w:rPr>
          <w:lang w:val="lv-LV"/>
        </w:rPr>
        <w:t xml:space="preserve"> (Nolikuma </w:t>
      </w:r>
      <w:r w:rsidR="002A1A56">
        <w:rPr>
          <w:lang w:val="lv-LV"/>
        </w:rPr>
        <w:t>1.pielikums</w:t>
      </w:r>
      <w:r>
        <w:rPr>
          <w:lang w:val="lv-LV"/>
        </w:rPr>
        <w:t xml:space="preserve">, </w:t>
      </w:r>
      <w:r w:rsidR="002A1A56">
        <w:rPr>
          <w:lang w:val="lv-LV"/>
        </w:rPr>
        <w:t>Nolikuma 8</w:t>
      </w:r>
      <w:r>
        <w:rPr>
          <w:lang w:val="lv-LV"/>
        </w:rPr>
        <w:t>.punkts)</w:t>
      </w:r>
      <w:r w:rsidRPr="002B158C">
        <w:rPr>
          <w:lang w:val="lv-LV"/>
        </w:rPr>
        <w:t>;</w:t>
      </w:r>
    </w:p>
    <w:p w:rsidR="00C87A1C" w:rsidRPr="002B158C" w:rsidRDefault="00C87A1C" w:rsidP="00C87A1C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Pretendenta, kuram būtu piešķiramas iepirkuma līguma slēgšanas tiesības,</w:t>
      </w:r>
      <w:r w:rsidRPr="002B158C">
        <w:rPr>
          <w:lang w:val="lv-LV"/>
        </w:rPr>
        <w:t xml:space="preserve"> iesniegt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at</w:t>
      </w:r>
      <w:r>
        <w:rPr>
          <w:lang w:val="lv-LV"/>
        </w:rPr>
        <w:t xml:space="preserve">bilstības pārbaude attiecībā uz </w:t>
      </w:r>
      <w:r w:rsidRPr="002B158C">
        <w:rPr>
          <w:lang w:val="lv-LV"/>
        </w:rPr>
        <w:t>kvalifikācijas prasībām</w:t>
      </w:r>
      <w:r>
        <w:rPr>
          <w:lang w:val="lv-LV"/>
        </w:rPr>
        <w:t xml:space="preserve"> (Nolikuma </w:t>
      </w:r>
      <w:r w:rsidR="002A1A56">
        <w:rPr>
          <w:lang w:val="lv-LV"/>
        </w:rPr>
        <w:t>2.pielikums</w:t>
      </w:r>
      <w:r>
        <w:rPr>
          <w:lang w:val="lv-LV"/>
        </w:rPr>
        <w:t>)</w:t>
      </w:r>
      <w:r w:rsidRPr="002B158C">
        <w:rPr>
          <w:lang w:val="lv-LV"/>
        </w:rPr>
        <w:t xml:space="preserve">;  </w:t>
      </w:r>
    </w:p>
    <w:p w:rsidR="00C87A1C" w:rsidRPr="00264778" w:rsidRDefault="00C87A1C" w:rsidP="00C87A1C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64778">
        <w:rPr>
          <w:lang w:val="lv-LV"/>
        </w:rPr>
        <w:t>Pirms lēmuma par līguma slēgšanu pieņemšanas iepirkuma komisija veic pārbaudi, vai attiecībā uz pretendentu, kuram būtu piešķiramas līguma slēgšanas tiesības</w:t>
      </w:r>
      <w:r>
        <w:rPr>
          <w:lang w:val="lv-LV"/>
        </w:rPr>
        <w:t>,</w:t>
      </w:r>
      <w:r w:rsidRPr="00264778">
        <w:rPr>
          <w:lang w:val="lv-LV"/>
        </w:rPr>
        <w:t xml:space="preserve"> nepastāv Publisko iepirkumu likuma 42.panta pirmās daļas 1., 2., 3., 4., 5., 6., 7., 8.punktā minētie izslēgšanas nosacījumi </w:t>
      </w:r>
      <w:r>
        <w:rPr>
          <w:lang w:val="lv-LV"/>
        </w:rPr>
        <w:t xml:space="preserve">un uz pretendenta norādītajiem </w:t>
      </w:r>
      <w:r w:rsidRPr="00F36AF6">
        <w:rPr>
          <w:color w:val="000000" w:themeColor="text1"/>
          <w:lang w:val="lv-LV"/>
        </w:rPr>
        <w:t xml:space="preserve">apakšuzņēmējiem un personām, </w:t>
      </w:r>
      <w:r>
        <w:rPr>
          <w:lang w:val="lv-LV"/>
        </w:rPr>
        <w:t>uz kuru</w:t>
      </w:r>
      <w:r w:rsidRPr="00264778">
        <w:rPr>
          <w:lang w:val="lv-LV"/>
        </w:rPr>
        <w:t xml:space="preserve"> iespējām pretendents balstās, lai apliecinātu, ka tā kvalifikācija atbilst iepirkuma procedūras dokumentos noteiktajām prasībām nepastāv PIL 42.panta pirmās daļas 1., 2., 3., 4., 5., 6. vai 7.punktā minētie izslēgšanas nosacījumi</w:t>
      </w:r>
      <w:r w:rsidR="002A1A56">
        <w:rPr>
          <w:lang w:val="lv-LV"/>
        </w:rPr>
        <w:t xml:space="preserve"> (Nolikuma 19</w:t>
      </w:r>
      <w:r>
        <w:rPr>
          <w:lang w:val="lv-LV"/>
        </w:rPr>
        <w:t>.punkts).</w:t>
      </w:r>
    </w:p>
    <w:p w:rsidR="0018077F" w:rsidRPr="0018077F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</w:p>
    <w:p w:rsidR="00C87A1C" w:rsidRPr="008069B5" w:rsidRDefault="002A1A56" w:rsidP="008069B5">
      <w:pPr>
        <w:pStyle w:val="ListParagraph"/>
        <w:numPr>
          <w:ilvl w:val="0"/>
          <w:numId w:val="7"/>
        </w:numPr>
        <w:ind w:right="-2"/>
        <w:jc w:val="both"/>
        <w:rPr>
          <w:bCs/>
          <w:lang w:val="lv-LV"/>
        </w:rPr>
      </w:pPr>
      <w:r w:rsidRPr="008069B5">
        <w:rPr>
          <w:bCs/>
          <w:lang w:val="lv-LV"/>
        </w:rPr>
        <w:t>SIA “K-RDB”</w:t>
      </w:r>
      <w:r w:rsidR="0018077F" w:rsidRPr="008069B5">
        <w:rPr>
          <w:bCs/>
          <w:lang w:val="lv-LV"/>
        </w:rPr>
        <w:t xml:space="preserve"> iepirkuma 1.daļas izpildei piesaista IK “CB Tests” – 15,5%, SIA “LA sistēmas”  - 11,02% un </w:t>
      </w:r>
      <w:proofErr w:type="spellStart"/>
      <w:r w:rsidR="0018077F" w:rsidRPr="008069B5">
        <w:rPr>
          <w:bCs/>
          <w:lang w:val="lv-LV"/>
        </w:rPr>
        <w:t>pašnodarbināt</w:t>
      </w:r>
      <w:r w:rsidR="008069B5" w:rsidRPr="008069B5">
        <w:rPr>
          <w:bCs/>
          <w:lang w:val="lv-LV"/>
        </w:rPr>
        <w:t>o</w:t>
      </w:r>
      <w:proofErr w:type="spellEnd"/>
      <w:r w:rsidR="008069B5" w:rsidRPr="008069B5">
        <w:rPr>
          <w:bCs/>
          <w:lang w:val="lv-LV"/>
        </w:rPr>
        <w:t xml:space="preserve"> personu Artūru Ivbuli – 15,5%;</w:t>
      </w:r>
    </w:p>
    <w:p w:rsidR="008069B5" w:rsidRPr="008069B5" w:rsidRDefault="008069B5" w:rsidP="008069B5">
      <w:pPr>
        <w:pStyle w:val="ListParagraph"/>
        <w:numPr>
          <w:ilvl w:val="0"/>
          <w:numId w:val="7"/>
        </w:numPr>
        <w:ind w:right="-2"/>
        <w:jc w:val="both"/>
        <w:rPr>
          <w:lang w:val="lv-LV"/>
        </w:rPr>
      </w:pPr>
      <w:r>
        <w:rPr>
          <w:lang w:val="lv-LV"/>
        </w:rPr>
        <w:t>SIA “</w:t>
      </w:r>
      <w:proofErr w:type="spellStart"/>
      <w:r>
        <w:rPr>
          <w:lang w:val="lv-LV"/>
        </w:rPr>
        <w:t>Isliena</w:t>
      </w:r>
      <w:proofErr w:type="spellEnd"/>
      <w:r>
        <w:rPr>
          <w:lang w:val="lv-LV"/>
        </w:rPr>
        <w:t xml:space="preserve"> V” iepirkuma 2.daļas izpildei piesaista SIA “</w:t>
      </w:r>
      <w:proofErr w:type="spellStart"/>
      <w:r>
        <w:rPr>
          <w:lang w:val="lv-LV"/>
        </w:rPr>
        <w:t>Jurēvičs</w:t>
      </w:r>
      <w:proofErr w:type="spellEnd"/>
      <w:r>
        <w:rPr>
          <w:lang w:val="lv-LV"/>
        </w:rPr>
        <w:t xml:space="preserve"> un partneri” – 50%.</w:t>
      </w:r>
      <w:bookmarkStart w:id="0" w:name="_GoBack"/>
      <w:bookmarkEnd w:id="0"/>
    </w:p>
    <w:p w:rsidR="00C87A1C" w:rsidRPr="004308E6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4308E6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839"/>
      </w:tblGrid>
      <w:tr w:rsidR="00C87A1C" w:rsidRPr="004308E6" w:rsidTr="00FF4DA8">
        <w:tc>
          <w:tcPr>
            <w:tcW w:w="709" w:type="dxa"/>
            <w:shd w:val="clear" w:color="auto" w:fill="D9D9D9" w:themeFill="background1" w:themeFillShade="D9"/>
          </w:tcPr>
          <w:p w:rsidR="00C87A1C" w:rsidRPr="004308E6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lastRenderedPageBreak/>
              <w:t>Nr.</w:t>
            </w:r>
          </w:p>
          <w:p w:rsidR="00C87A1C" w:rsidRPr="004308E6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p.k.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87A1C" w:rsidRPr="004308E6" w:rsidRDefault="00C87A1C" w:rsidP="00FF4DA8">
            <w:pPr>
              <w:ind w:right="-108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Pretendenta nosaukums</w:t>
            </w:r>
          </w:p>
          <w:p w:rsidR="00C87A1C" w:rsidRPr="004308E6" w:rsidRDefault="00C87A1C" w:rsidP="00FF4DA8">
            <w:pPr>
              <w:ind w:right="-108"/>
              <w:rPr>
                <w:lang w:val="lv-LV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:rsidR="00C87A1C" w:rsidRPr="004308E6" w:rsidRDefault="00C87A1C" w:rsidP="00FF4DA8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>
              <w:rPr>
                <w:bCs/>
                <w:lang w:val="lv-LV"/>
              </w:rPr>
              <w:t>Iepirkuma daļa un n</w:t>
            </w:r>
            <w:r w:rsidRPr="004308E6">
              <w:rPr>
                <w:bCs/>
                <w:lang w:val="lv-LV"/>
              </w:rPr>
              <w:t>oraidīšanas pamatojums</w:t>
            </w:r>
          </w:p>
        </w:tc>
      </w:tr>
      <w:tr w:rsidR="00C87A1C" w:rsidRPr="008069B5" w:rsidTr="00FF4DA8">
        <w:tc>
          <w:tcPr>
            <w:tcW w:w="709" w:type="dxa"/>
          </w:tcPr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835" w:type="dxa"/>
          </w:tcPr>
          <w:p w:rsidR="00C87A1C" w:rsidRPr="004A395D" w:rsidRDefault="00C87A1C" w:rsidP="0018077F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proofErr w:type="spellStart"/>
            <w:r w:rsidR="0018077F">
              <w:rPr>
                <w:rFonts w:eastAsia="Calibri"/>
                <w:b/>
                <w:lang w:val="lv-LV"/>
              </w:rPr>
              <w:t>RoadLat</w:t>
            </w:r>
            <w:proofErr w:type="spellEnd"/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5839" w:type="dxa"/>
          </w:tcPr>
          <w:p w:rsidR="00C87A1C" w:rsidRPr="00C21695" w:rsidRDefault="0018077F" w:rsidP="0018077F">
            <w:pPr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>2</w:t>
            </w:r>
            <w:r w:rsidR="00C87A1C">
              <w:rPr>
                <w:lang w:val="lv-LV"/>
              </w:rPr>
              <w:t xml:space="preserve">.daļa – </w:t>
            </w:r>
            <w:r>
              <w:rPr>
                <w:color w:val="000000"/>
                <w:lang w:val="lv-LV"/>
              </w:rPr>
              <w:t xml:space="preserve">Tehniskais piedāvājums </w:t>
            </w:r>
            <w:r w:rsidRPr="001B72B4">
              <w:rPr>
                <w:color w:val="000000"/>
                <w:u w:val="single"/>
                <w:lang w:val="lv-LV"/>
              </w:rPr>
              <w:t>ne</w:t>
            </w:r>
            <w:r w:rsidRPr="00D30B80"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3.pielikuma 1.1.apakšpunkta un 1.2.apakšpunkta noteiktajām prasībām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7A1C" w:rsidRPr="008069B5" w:rsidTr="00FF4DA8">
        <w:tc>
          <w:tcPr>
            <w:tcW w:w="709" w:type="dxa"/>
          </w:tcPr>
          <w:p w:rsidR="00C87A1C" w:rsidRPr="005D50D7" w:rsidRDefault="00C87A1C" w:rsidP="00FF4DA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835" w:type="dxa"/>
          </w:tcPr>
          <w:p w:rsidR="00C87A1C" w:rsidRPr="004A395D" w:rsidRDefault="00C87A1C" w:rsidP="0018077F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proofErr w:type="spellStart"/>
            <w:r w:rsidR="0018077F">
              <w:rPr>
                <w:rFonts w:eastAsia="Calibri"/>
                <w:b/>
                <w:lang w:val="lv-LV"/>
              </w:rPr>
              <w:t>Isliena</w:t>
            </w:r>
            <w:proofErr w:type="spellEnd"/>
            <w:r w:rsidR="0018077F">
              <w:rPr>
                <w:rFonts w:eastAsia="Calibri"/>
                <w:b/>
                <w:lang w:val="lv-LV"/>
              </w:rPr>
              <w:t xml:space="preserve"> V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5839" w:type="dxa"/>
          </w:tcPr>
          <w:p w:rsidR="00C87A1C" w:rsidRPr="005D50D7" w:rsidRDefault="00C87A1C" w:rsidP="0018077F">
            <w:pPr>
              <w:ind w:right="-2"/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>1.</w:t>
            </w:r>
            <w:r w:rsidR="0018077F">
              <w:rPr>
                <w:lang w:val="lv-LV"/>
              </w:rPr>
              <w:t>daļa</w:t>
            </w:r>
            <w:r>
              <w:rPr>
                <w:lang w:val="lv-LV"/>
              </w:rPr>
              <w:t xml:space="preserve"> – nav saimnieciski visizdevīgākais piedāvājums, kurš</w:t>
            </w:r>
            <w:r w:rsidRPr="00C21695">
              <w:rPr>
                <w:lang w:val="lv-LV"/>
              </w:rPr>
              <w:t xml:space="preserve"> noteikts, ņemot vērā cenu</w:t>
            </w:r>
          </w:p>
        </w:tc>
      </w:tr>
    </w:tbl>
    <w:p w:rsidR="00C87A1C" w:rsidRPr="00E74D39" w:rsidRDefault="00C87A1C" w:rsidP="00C87A1C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saņemti</w:t>
      </w:r>
      <w:r w:rsidRPr="00E74D39">
        <w:rPr>
          <w:bCs/>
          <w:lang w:val="lv-LV"/>
        </w:rPr>
        <w:t xml:space="preserve"> </w:t>
      </w:r>
      <w:r w:rsidR="0018077F">
        <w:rPr>
          <w:bCs/>
          <w:lang w:val="lv-LV"/>
        </w:rPr>
        <w:t>3</w:t>
      </w:r>
      <w:r w:rsidRPr="00E74D39">
        <w:rPr>
          <w:bCs/>
          <w:lang w:val="lv-LV"/>
        </w:rPr>
        <w:t xml:space="preserve"> (</w:t>
      </w:r>
      <w:r w:rsidR="0018077F">
        <w:rPr>
          <w:bCs/>
          <w:lang w:val="lv-LV"/>
        </w:rPr>
        <w:t>trīs</w:t>
      </w:r>
      <w:r w:rsidRPr="00E74D39">
        <w:rPr>
          <w:bCs/>
          <w:lang w:val="lv-LV"/>
        </w:rPr>
        <w:t xml:space="preserve">) piedāvājumi. </w:t>
      </w:r>
    </w:p>
    <w:p w:rsidR="00C87A1C" w:rsidRPr="0032378D" w:rsidRDefault="00C87A1C" w:rsidP="00C87A1C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n</w:t>
      </w:r>
      <w:r w:rsidRPr="0032378D">
        <w:rPr>
          <w:bCs/>
          <w:lang w:val="lv-LV"/>
        </w:rPr>
        <w:t xml:space="preserve">av pārtraukta vai izbeigta iepirkuma procedūra. 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Piedāvājuma noraidīšanas pamatojums, ja iepirkuma komisija atzinusi piedāvājumu par nepamatoti lētu: </w:t>
      </w:r>
      <w:r w:rsidRPr="002B158C">
        <w:rPr>
          <w:lang w:val="lv-LV"/>
        </w:rPr>
        <w:t xml:space="preserve">nav atzīts. 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C87A1C" w:rsidRPr="002B158C" w:rsidRDefault="00C87A1C" w:rsidP="00C87A1C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C87A1C" w:rsidRPr="002B158C" w:rsidRDefault="00C87A1C" w:rsidP="00C87A1C">
      <w:pPr>
        <w:pStyle w:val="ListParagraph"/>
        <w:rPr>
          <w:lang w:val="lv-LV"/>
        </w:rPr>
      </w:pPr>
    </w:p>
    <w:p w:rsidR="00C87A1C" w:rsidRPr="002B158C" w:rsidRDefault="00C87A1C" w:rsidP="00C87A1C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C87A1C" w:rsidRPr="002B158C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C87A1C" w:rsidRPr="00647F26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18077F">
        <w:rPr>
          <w:color w:val="000000"/>
          <w:szCs w:val="20"/>
        </w:rPr>
        <w:t>39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C87A1C" w:rsidRPr="002B158C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18077F">
        <w:rPr>
          <w:color w:val="000000" w:themeColor="text1"/>
        </w:rPr>
        <w:t>05.02</w:t>
      </w:r>
      <w:r>
        <w:rPr>
          <w:color w:val="000000" w:themeColor="text1"/>
        </w:rPr>
        <w:t>.2018.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 uz 2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C87A1C" w:rsidRPr="00AD519F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>201</w:t>
      </w:r>
      <w:r>
        <w:rPr>
          <w:color w:val="000000"/>
          <w:szCs w:val="22"/>
        </w:rPr>
        <w:t>8</w:t>
      </w:r>
      <w:r w:rsidRPr="00AF0E53">
        <w:rPr>
          <w:color w:val="000000"/>
          <w:szCs w:val="22"/>
        </w:rPr>
        <w:t xml:space="preserve">.gada </w:t>
      </w:r>
      <w:r w:rsidR="0018077F">
        <w:rPr>
          <w:color w:val="000000"/>
          <w:szCs w:val="22"/>
        </w:rPr>
        <w:t>31</w:t>
      </w:r>
      <w:r>
        <w:rPr>
          <w:color w:val="000000"/>
          <w:szCs w:val="22"/>
        </w:rPr>
        <w:t>.janvāra</w:t>
      </w:r>
      <w:r w:rsidRPr="00AF0E53">
        <w:rPr>
          <w:color w:val="000000"/>
          <w:szCs w:val="22"/>
        </w:rPr>
        <w:t xml:space="preserve"> pašvaldības iepirkumu komisijas sēdes protokols </w:t>
      </w:r>
      <w:r>
        <w:rPr>
          <w:color w:val="000000"/>
          <w:szCs w:val="22"/>
        </w:rPr>
        <w:t>Nr.</w:t>
      </w:r>
      <w:r w:rsidR="0018077F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par nolikuma apstiprināšanu un iepirkuma procedūras uzsākšanu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>
        <w:rPr>
          <w:color w:val="000000"/>
          <w:szCs w:val="22"/>
        </w:rPr>
        <w:t>u</w:t>
      </w:r>
      <w:r w:rsidRPr="00AF0E53">
        <w:rPr>
          <w:color w:val="000000"/>
          <w:szCs w:val="22"/>
        </w:rPr>
        <w:t xml:space="preserve"> apliecinājumi);</w:t>
      </w:r>
    </w:p>
    <w:p w:rsidR="00C87A1C" w:rsidRPr="00AF0E53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18077F">
        <w:t>26</w:t>
      </w:r>
      <w:r>
        <w:t>.februāra</w:t>
      </w:r>
      <w:r w:rsidRPr="00AF0E53">
        <w:t xml:space="preserve"> pašvaldības iepirkumu komisijas piedāvājumu atvēršanas sanāksmes protokols Nr.</w:t>
      </w:r>
      <w:r w:rsidR="0018077F">
        <w:t>2</w:t>
      </w:r>
      <w:r w:rsidRPr="00AF0E53">
        <w:t xml:space="preserve"> uz </w:t>
      </w:r>
      <w:r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apliecinājumi</w:t>
      </w:r>
      <w:r>
        <w:rPr>
          <w:color w:val="000000"/>
          <w:szCs w:val="22"/>
        </w:rPr>
        <w:t xml:space="preserve"> un</w:t>
      </w:r>
      <w:r w:rsidRPr="00AF0E53">
        <w:rPr>
          <w:color w:val="000000"/>
          <w:szCs w:val="22"/>
        </w:rPr>
        <w:t xml:space="preserve"> piedāvājumi)</w:t>
      </w:r>
      <w:r w:rsidRPr="00AF0E53">
        <w:t>;</w:t>
      </w:r>
    </w:p>
    <w:p w:rsidR="00C87A1C" w:rsidRPr="00AF0E53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>
        <w:t>27.februāra</w:t>
      </w:r>
      <w:r w:rsidRPr="00AF0E53">
        <w:t xml:space="preserve"> pašvaldības iepirkumu komisijas piedāvājumu </w:t>
      </w:r>
      <w:r>
        <w:t>vērtēšanas sēdes protokols Nr.</w:t>
      </w:r>
      <w:r w:rsidR="0018077F">
        <w:t>3</w:t>
      </w:r>
      <w:r w:rsidRPr="00AF0E53">
        <w:t xml:space="preserve"> uz </w:t>
      </w:r>
      <w:r>
        <w:t>4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>
        <w:t>;</w:t>
      </w:r>
    </w:p>
    <w:p w:rsidR="00C87A1C" w:rsidRPr="002C5BA4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18077F">
        <w:t>5</w:t>
      </w:r>
      <w:r>
        <w:t>.marta</w:t>
      </w:r>
      <w:r w:rsidRPr="00AF0E53">
        <w:t xml:space="preserve"> pašvaldības iepirkumu komisijas piedāvājumu </w:t>
      </w:r>
      <w:r>
        <w:t>vērtēšanas sēdes protokols Nr.</w:t>
      </w:r>
      <w:r w:rsidR="0018077F">
        <w:t>4</w:t>
      </w:r>
      <w:r w:rsidRPr="00AF0E53">
        <w:t xml:space="preserve"> uz </w:t>
      </w:r>
      <w:r>
        <w:t>4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>
        <w:t>;</w:t>
      </w:r>
    </w:p>
    <w:p w:rsidR="00C87A1C" w:rsidRPr="00AF0E53" w:rsidRDefault="00C87A1C" w:rsidP="00C87A1C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>
        <w:t>1</w:t>
      </w:r>
      <w:r w:rsidR="0018077F">
        <w:t>4</w:t>
      </w:r>
      <w:r>
        <w:t>.marta</w:t>
      </w:r>
      <w:r w:rsidRPr="00AF0E53">
        <w:t xml:space="preserve"> pašvaldības iepirkumu komisijas piedāvājumu </w:t>
      </w:r>
      <w:r>
        <w:t>vērtēšanas sēdes protokols Nr.</w:t>
      </w:r>
      <w:r w:rsidR="0018077F">
        <w:t>5</w:t>
      </w:r>
      <w:r w:rsidRPr="00AF0E53">
        <w:t xml:space="preserve"> uz </w:t>
      </w:r>
      <w:r w:rsidR="00DA5282"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>
        <w:t>.</w:t>
      </w:r>
    </w:p>
    <w:p w:rsidR="00C87A1C" w:rsidRPr="00AF0E53" w:rsidRDefault="00C87A1C" w:rsidP="00C87A1C">
      <w:pPr>
        <w:pStyle w:val="BodyText"/>
        <w:widowControl/>
        <w:ind w:left="720" w:right="-2"/>
        <w:rPr>
          <w:bCs/>
        </w:rPr>
      </w:pPr>
    </w:p>
    <w:p w:rsidR="00C87A1C" w:rsidRPr="002B158C" w:rsidRDefault="00C87A1C" w:rsidP="00C87A1C">
      <w:pPr>
        <w:ind w:right="-2"/>
        <w:jc w:val="both"/>
        <w:rPr>
          <w:lang w:val="lv-LV"/>
        </w:rPr>
      </w:pPr>
    </w:p>
    <w:p w:rsidR="00C87A1C" w:rsidRDefault="00C87A1C" w:rsidP="00C87A1C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>L.Meldrāja</w:t>
      </w:r>
    </w:p>
    <w:p w:rsidR="00C87A1C" w:rsidRPr="002B158C" w:rsidRDefault="00C87A1C" w:rsidP="00C87A1C">
      <w:pPr>
        <w:ind w:right="-2"/>
        <w:jc w:val="both"/>
        <w:rPr>
          <w:lang w:val="lv-LV"/>
        </w:rPr>
      </w:pPr>
    </w:p>
    <w:p w:rsidR="00C87A1C" w:rsidRPr="008B2F76" w:rsidRDefault="00C87A1C" w:rsidP="00C87A1C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C87A1C" w:rsidRPr="008B2F76" w:rsidRDefault="00C87A1C" w:rsidP="00C87A1C">
      <w:pPr>
        <w:ind w:right="-2"/>
        <w:jc w:val="both"/>
        <w:rPr>
          <w:lang w:val="lv-LV"/>
        </w:rPr>
      </w:pPr>
    </w:p>
    <w:p w:rsidR="00C87A1C" w:rsidRPr="009C3AD7" w:rsidRDefault="00C87A1C" w:rsidP="00C87A1C">
      <w:pPr>
        <w:rPr>
          <w:lang w:val="lv-LV"/>
        </w:rPr>
      </w:pPr>
    </w:p>
    <w:p w:rsidR="00C87A1C" w:rsidRPr="004225BF" w:rsidRDefault="00C87A1C" w:rsidP="00C87A1C">
      <w:pPr>
        <w:rPr>
          <w:lang w:val="lv-LV"/>
        </w:rPr>
      </w:pPr>
    </w:p>
    <w:p w:rsidR="003441ED" w:rsidRPr="00C87A1C" w:rsidRDefault="003441ED">
      <w:pPr>
        <w:rPr>
          <w:lang w:val="lv-LV"/>
        </w:rPr>
      </w:pPr>
    </w:p>
    <w:sectPr w:rsidR="003441ED" w:rsidRPr="00C87A1C" w:rsidSect="002A1A56">
      <w:footerReference w:type="default" r:id="rId9"/>
      <w:pgSz w:w="11906" w:h="16838"/>
      <w:pgMar w:top="1134" w:right="849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4B" w:rsidRDefault="008D324B">
      <w:r>
        <w:separator/>
      </w:r>
    </w:p>
  </w:endnote>
  <w:endnote w:type="continuationSeparator" w:id="0">
    <w:p w:rsidR="008D324B" w:rsidRDefault="008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DA5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9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236" w:rsidRDefault="008D3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4B" w:rsidRDefault="008D324B">
      <w:r>
        <w:separator/>
      </w:r>
    </w:p>
  </w:footnote>
  <w:footnote w:type="continuationSeparator" w:id="0">
    <w:p w:rsidR="008D324B" w:rsidRDefault="008D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140B9C"/>
    <w:multiLevelType w:val="hybridMultilevel"/>
    <w:tmpl w:val="03FC52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F0BF0"/>
    <w:multiLevelType w:val="hybridMultilevel"/>
    <w:tmpl w:val="996E9E3E"/>
    <w:lvl w:ilvl="0" w:tplc="611CC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E5D3144"/>
    <w:multiLevelType w:val="hybridMultilevel"/>
    <w:tmpl w:val="32A67524"/>
    <w:lvl w:ilvl="0" w:tplc="4E9ABB2C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1C"/>
    <w:rsid w:val="000604EE"/>
    <w:rsid w:val="0018077F"/>
    <w:rsid w:val="002A1A56"/>
    <w:rsid w:val="003441ED"/>
    <w:rsid w:val="006871B3"/>
    <w:rsid w:val="008069B5"/>
    <w:rsid w:val="008D324B"/>
    <w:rsid w:val="00B340BD"/>
    <w:rsid w:val="00C87A1C"/>
    <w:rsid w:val="00D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D9AA8-5E8C-468C-B233-ED62568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1C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A1C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C87A1C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C87A1C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A1C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87A1C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C87A1C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C87A1C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87A1C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C87A1C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C87A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A1C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87A1C"/>
    <w:pPr>
      <w:ind w:left="720"/>
      <w:contextualSpacing/>
    </w:pPr>
  </w:style>
  <w:style w:type="table" w:styleId="TableGrid">
    <w:name w:val="Table Grid"/>
    <w:basedOn w:val="TableNormal"/>
    <w:uiPriority w:val="39"/>
    <w:rsid w:val="00C8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5432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2018-03-14T08:31:00Z</dcterms:created>
  <dcterms:modified xsi:type="dcterms:W3CDTF">2018-03-15T06:43:00Z</dcterms:modified>
</cp:coreProperties>
</file>