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E25" w:rsidRPr="002B158C" w:rsidRDefault="00E42E25" w:rsidP="00E42E25">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05B40A89" wp14:editId="6704EC01">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E42E25" w:rsidRPr="00D05B67" w:rsidRDefault="00E42E25" w:rsidP="00E42E25">
      <w:pPr>
        <w:keepNext/>
        <w:widowControl w:val="0"/>
        <w:tabs>
          <w:tab w:val="left" w:pos="360"/>
        </w:tabs>
        <w:suppressAutoHyphens/>
        <w:jc w:val="center"/>
        <w:outlineLvl w:val="6"/>
        <w:rPr>
          <w:rFonts w:eastAsia="Lucida Sans Unicode" w:cs="Tahoma"/>
          <w:lang w:val="lv-LV"/>
        </w:rPr>
      </w:pPr>
      <w:r w:rsidRPr="00D05B67">
        <w:rPr>
          <w:rFonts w:eastAsia="Lucida Sans Unicode" w:cs="Tahoma"/>
          <w:lang w:val="lv-LV"/>
        </w:rPr>
        <w:t>JĒKABPILS PILSĒTAS PAŠVALDĪBA</w:t>
      </w:r>
    </w:p>
    <w:p w:rsidR="00E42E25" w:rsidRPr="002B158C" w:rsidRDefault="00E42E25" w:rsidP="00E42E25">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E42E25" w:rsidRPr="002B158C" w:rsidRDefault="00E42E25" w:rsidP="00E42E25">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E42E25" w:rsidRPr="002B158C" w:rsidRDefault="00E42E25" w:rsidP="00E42E25">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E42E25" w:rsidRPr="002B158C" w:rsidRDefault="00E42E25" w:rsidP="00E42E25">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E42E25" w:rsidRPr="002B158C" w:rsidRDefault="00E42E25" w:rsidP="00B174A7">
      <w:pPr>
        <w:widowControl w:val="0"/>
        <w:suppressAutoHyphens/>
        <w:jc w:val="center"/>
        <w:rPr>
          <w:b/>
          <w:iCs/>
        </w:rPr>
      </w:pPr>
      <w:r w:rsidRPr="002B158C">
        <w:rPr>
          <w:rFonts w:eastAsia="Lucida Sans Unicode"/>
          <w:szCs w:val="20"/>
          <w:lang w:val="lv-LV"/>
        </w:rPr>
        <w:t>Jēkabpilī</w:t>
      </w:r>
    </w:p>
    <w:p w:rsidR="00E42E25" w:rsidRPr="002B158C" w:rsidRDefault="00E42E25" w:rsidP="00E42E25">
      <w:pPr>
        <w:pStyle w:val="Heading1"/>
        <w:jc w:val="center"/>
        <w:rPr>
          <w:b w:val="0"/>
          <w:iCs/>
          <w:sz w:val="32"/>
          <w:szCs w:val="32"/>
        </w:rPr>
      </w:pPr>
      <w:r w:rsidRPr="002B158C">
        <w:rPr>
          <w:b w:val="0"/>
          <w:iCs/>
          <w:sz w:val="32"/>
          <w:szCs w:val="32"/>
        </w:rPr>
        <w:t>IEPIRKUMA PROCEDŪRAS</w:t>
      </w:r>
    </w:p>
    <w:p w:rsidR="00E42E25" w:rsidRDefault="00E42E25" w:rsidP="00E42E25">
      <w:pPr>
        <w:pStyle w:val="Heading1"/>
        <w:ind w:right="180"/>
        <w:jc w:val="center"/>
        <w:rPr>
          <w:szCs w:val="20"/>
        </w:rPr>
      </w:pPr>
      <w:r>
        <w:t>“Tranzīta ielu ikdienas uzturēšana 201</w:t>
      </w:r>
      <w:r>
        <w:t>8</w:t>
      </w:r>
      <w:r>
        <w:t>.gadā Jēkabpilī”</w:t>
      </w:r>
      <w:r>
        <w:rPr>
          <w:szCs w:val="20"/>
        </w:rPr>
        <w:t xml:space="preserve">, </w:t>
      </w:r>
    </w:p>
    <w:p w:rsidR="00E42E25" w:rsidRDefault="00E42E25" w:rsidP="00E42E25">
      <w:pPr>
        <w:pStyle w:val="Heading1"/>
        <w:ind w:right="180"/>
        <w:jc w:val="center"/>
      </w:pPr>
      <w:r>
        <w:rPr>
          <w:szCs w:val="20"/>
        </w:rPr>
        <w:t>identifikācijas Nr. JPP 201</w:t>
      </w:r>
      <w:r>
        <w:rPr>
          <w:szCs w:val="20"/>
        </w:rPr>
        <w:t>7</w:t>
      </w:r>
      <w:r>
        <w:rPr>
          <w:szCs w:val="20"/>
        </w:rPr>
        <w:t>/</w:t>
      </w:r>
      <w:r>
        <w:rPr>
          <w:szCs w:val="20"/>
        </w:rPr>
        <w:t>60</w:t>
      </w:r>
    </w:p>
    <w:p w:rsidR="00E42E25" w:rsidRDefault="00E42E25" w:rsidP="00B174A7">
      <w:pPr>
        <w:pStyle w:val="Heading1"/>
        <w:ind w:right="180"/>
        <w:jc w:val="center"/>
        <w:rPr>
          <w:bCs/>
          <w:i/>
          <w:iCs/>
        </w:rPr>
      </w:pPr>
      <w:r>
        <w:t xml:space="preserve"> </w:t>
      </w:r>
      <w:r>
        <w:rPr>
          <w:bCs/>
          <w:i/>
          <w:iCs/>
        </w:rPr>
        <w:t>Z I Ņ O J U M S</w:t>
      </w:r>
    </w:p>
    <w:p w:rsidR="00E42E25" w:rsidRDefault="00E42E25" w:rsidP="00E42E25">
      <w:pPr>
        <w:pStyle w:val="Heading2"/>
        <w:ind w:right="-2"/>
        <w:jc w:val="both"/>
        <w:rPr>
          <w:iCs/>
        </w:rPr>
      </w:pPr>
      <w:r>
        <w:t xml:space="preserve">Jēkabpilī,   </w:t>
      </w:r>
      <w:r>
        <w:tab/>
      </w:r>
      <w:r>
        <w:tab/>
      </w:r>
      <w:r>
        <w:tab/>
      </w:r>
      <w:r>
        <w:tab/>
      </w:r>
      <w:r>
        <w:tab/>
      </w:r>
      <w:r>
        <w:tab/>
      </w:r>
      <w:r>
        <w:tab/>
        <w:t xml:space="preserve">                 </w:t>
      </w:r>
      <w:r>
        <w:t xml:space="preserve">  </w:t>
      </w:r>
      <w:r>
        <w:t>201</w:t>
      </w:r>
      <w:r>
        <w:t>7</w:t>
      </w:r>
      <w:r>
        <w:t xml:space="preserve">.gada </w:t>
      </w:r>
      <w:r>
        <w:t>15.decembrī</w:t>
      </w:r>
      <w:r>
        <w:t xml:space="preserve">                                                                                                          </w:t>
      </w:r>
      <w:r>
        <w:tab/>
      </w:r>
      <w:r>
        <w:tab/>
        <w:t xml:space="preserve">      </w:t>
      </w:r>
    </w:p>
    <w:p w:rsidR="00E42E25" w:rsidRDefault="00E42E25" w:rsidP="00E42E25">
      <w:pPr>
        <w:ind w:right="-2" w:firstLine="720"/>
        <w:jc w:val="both"/>
        <w:rPr>
          <w:lang w:val="lv-LV"/>
        </w:rPr>
      </w:pPr>
      <w:r>
        <w:rPr>
          <w:b/>
          <w:lang w:val="lv-LV"/>
        </w:rPr>
        <w:t>1. Pasūtītāja nosaukums un adrese, reģistrācijas numurs</w:t>
      </w:r>
      <w:r>
        <w:rPr>
          <w:lang w:val="lv-LV"/>
        </w:rPr>
        <w:t xml:space="preserve"> – Jēkabpils pilsētas pašvaldība, reģistrācijas Nr. 90000024205, Brīvības iela 120, Jēkabpils, LV-5201. </w:t>
      </w:r>
    </w:p>
    <w:p w:rsidR="00E42E25" w:rsidRDefault="00E42E25" w:rsidP="00E42E25">
      <w:pPr>
        <w:ind w:right="-2" w:firstLine="720"/>
        <w:jc w:val="both"/>
        <w:rPr>
          <w:lang w:val="lv-LV"/>
        </w:rPr>
      </w:pPr>
      <w:r w:rsidRPr="008A0BAF">
        <w:rPr>
          <w:b/>
          <w:bCs/>
          <w:lang w:val="lv-LV"/>
        </w:rPr>
        <w:t xml:space="preserve">2. </w:t>
      </w:r>
      <w:r>
        <w:rPr>
          <w:b/>
          <w:bCs/>
          <w:lang w:val="lv-LV"/>
        </w:rPr>
        <w:t>Iepirkuma priekšmets, identifikācijas numurs</w:t>
      </w:r>
      <w:r w:rsidRPr="008A0BAF">
        <w:rPr>
          <w:b/>
          <w:bCs/>
          <w:lang w:val="lv-LV"/>
        </w:rPr>
        <w:t xml:space="preserve"> </w:t>
      </w:r>
      <w:r w:rsidRPr="008A0BAF">
        <w:rPr>
          <w:lang w:val="lv-LV"/>
        </w:rPr>
        <w:t>– “</w:t>
      </w:r>
      <w:r>
        <w:rPr>
          <w:lang w:val="lv-LV"/>
        </w:rPr>
        <w:t>Tranzīta ielu ikdienas uzturēšana 201</w:t>
      </w:r>
      <w:r>
        <w:rPr>
          <w:lang w:val="lv-LV"/>
        </w:rPr>
        <w:t>8</w:t>
      </w:r>
      <w:r>
        <w:rPr>
          <w:lang w:val="lv-LV"/>
        </w:rPr>
        <w:t>.gadā Jēkabpilī”</w:t>
      </w:r>
      <w:r>
        <w:rPr>
          <w:szCs w:val="20"/>
          <w:lang w:val="lv-LV"/>
        </w:rPr>
        <w:t>, identifikācijas Nr. JPP 201</w:t>
      </w:r>
      <w:r>
        <w:rPr>
          <w:szCs w:val="20"/>
          <w:lang w:val="lv-LV"/>
        </w:rPr>
        <w:t>7/60</w:t>
      </w:r>
      <w:r>
        <w:rPr>
          <w:szCs w:val="20"/>
          <w:lang w:val="lv-LV"/>
        </w:rPr>
        <w:t>.</w:t>
      </w:r>
    </w:p>
    <w:p w:rsidR="00E42E25" w:rsidRDefault="00E42E25" w:rsidP="00E42E25">
      <w:pPr>
        <w:ind w:right="-2" w:firstLine="720"/>
        <w:jc w:val="both"/>
        <w:rPr>
          <w:bCs/>
          <w:lang w:val="lv-LV"/>
        </w:rPr>
      </w:pPr>
      <w:r>
        <w:rPr>
          <w:b/>
          <w:lang w:val="lv-LV"/>
        </w:rPr>
        <w:t xml:space="preserve">3. Paziņojums par līgumu publicēts internetā </w:t>
      </w:r>
      <w:r>
        <w:rPr>
          <w:b/>
          <w:color w:val="000000"/>
          <w:lang w:val="lv-LV"/>
        </w:rPr>
        <w:t>(</w:t>
      </w:r>
      <w:hyperlink r:id="rId6" w:history="1">
        <w:r>
          <w:rPr>
            <w:rStyle w:val="Hyperlink"/>
            <w:b/>
            <w:lang w:val="lv-LV"/>
          </w:rPr>
          <w:t>www.iub.gov.lv</w:t>
        </w:r>
      </w:hyperlink>
      <w:r>
        <w:rPr>
          <w:b/>
          <w:color w:val="000000"/>
          <w:lang w:val="lv-LV"/>
        </w:rPr>
        <w:t>)</w:t>
      </w:r>
      <w:r>
        <w:rPr>
          <w:b/>
          <w:lang w:val="lv-LV"/>
        </w:rPr>
        <w:t xml:space="preserve"> </w:t>
      </w:r>
      <w:r>
        <w:rPr>
          <w:bCs/>
          <w:lang w:val="lv-LV"/>
        </w:rPr>
        <w:t xml:space="preserve">– </w:t>
      </w:r>
      <w:r>
        <w:rPr>
          <w:bCs/>
          <w:lang w:val="lv-LV"/>
        </w:rPr>
        <w:t>24.11.2017</w:t>
      </w:r>
      <w:r>
        <w:rPr>
          <w:bCs/>
          <w:lang w:val="lv-LV"/>
        </w:rPr>
        <w:t>.</w:t>
      </w:r>
    </w:p>
    <w:p w:rsidR="00E42E25" w:rsidRPr="00E42E25" w:rsidRDefault="00E42E25" w:rsidP="00E42E25">
      <w:pPr>
        <w:ind w:right="-2" w:firstLine="720"/>
        <w:jc w:val="both"/>
        <w:rPr>
          <w:b/>
          <w:lang w:val="lv-LV"/>
        </w:rPr>
      </w:pPr>
      <w:r>
        <w:rPr>
          <w:b/>
          <w:lang w:val="lv-LV"/>
        </w:rPr>
        <w:t xml:space="preserve">4. </w:t>
      </w:r>
      <w:r w:rsidRPr="00E42E25">
        <w:rPr>
          <w:b/>
          <w:lang w:val="lv-LV"/>
        </w:rPr>
        <w:t xml:space="preserve">Iepirkuma komisijas sastāvs un tās izveidošanas pamatojums: </w:t>
      </w:r>
      <w:r w:rsidRPr="00E42E25">
        <w:rPr>
          <w:bCs/>
          <w:color w:val="000000"/>
          <w:lang w:val="lv-LV"/>
        </w:rPr>
        <w:t xml:space="preserve">izveidota pamatojoties uz 2017.gada 24.augusta Jēkabpils pilsētas domes sēdes lēmumu Nr.293 (protokols Nr. 22, 10.§) </w:t>
      </w:r>
      <w:r w:rsidRPr="00E42E25">
        <w:rPr>
          <w:lang w:val="lv-LV"/>
        </w:rPr>
        <w:t>šādā sastāvā:</w:t>
      </w:r>
    </w:p>
    <w:p w:rsidR="00E42E25" w:rsidRPr="00E42E25" w:rsidRDefault="00E42E25" w:rsidP="00E42E25">
      <w:pPr>
        <w:ind w:firstLine="720"/>
        <w:jc w:val="both"/>
        <w:rPr>
          <w:lang w:val="lv-LV"/>
        </w:rPr>
      </w:pPr>
      <w:r>
        <w:rPr>
          <w:lang w:val="lv-LV"/>
        </w:rPr>
        <w:t xml:space="preserve">- </w:t>
      </w:r>
      <w:r w:rsidRPr="00E42E25">
        <w:rPr>
          <w:lang w:val="lv-LV"/>
        </w:rPr>
        <w:t>iepirkuma komisijas priekšsēdētāja: Linda Meldrāja;</w:t>
      </w:r>
    </w:p>
    <w:p w:rsidR="00E42E25" w:rsidRPr="00E42E25" w:rsidRDefault="00E42E25" w:rsidP="00E42E25">
      <w:pPr>
        <w:ind w:left="720" w:right="-2"/>
        <w:jc w:val="both"/>
        <w:rPr>
          <w:b/>
          <w:lang w:val="lv-LV"/>
        </w:rPr>
      </w:pPr>
      <w:r>
        <w:rPr>
          <w:lang w:val="lv-LV"/>
        </w:rPr>
        <w:t xml:space="preserve">- </w:t>
      </w:r>
      <w:r w:rsidRPr="00E42E25">
        <w:rPr>
          <w:lang w:val="lv-LV"/>
        </w:rPr>
        <w:t>iepirkuma komisijas locekļi: Andrejs Kozlovskis, Mirdza Stankevica, Alberts Barkāns</w:t>
      </w:r>
      <w:r w:rsidRPr="00E42E25">
        <w:rPr>
          <w:lang w:val="lv-LV"/>
        </w:rPr>
        <w:t>.</w:t>
      </w:r>
      <w:r w:rsidRPr="00E42E25">
        <w:rPr>
          <w:lang w:val="lv-LV"/>
        </w:rPr>
        <w:t xml:space="preserve"> </w:t>
      </w:r>
      <w:r w:rsidRPr="00E42E25">
        <w:rPr>
          <w:b/>
          <w:lang w:val="lv-LV"/>
        </w:rPr>
        <w:t>5.</w:t>
      </w:r>
      <w:r>
        <w:rPr>
          <w:lang w:val="lv-LV"/>
        </w:rPr>
        <w:t xml:space="preserve"> </w:t>
      </w:r>
      <w:r w:rsidRPr="00E42E25">
        <w:rPr>
          <w:b/>
          <w:lang w:val="lv-LV"/>
        </w:rPr>
        <w:t xml:space="preserve">Iepirkuma procedūras dokumentu sagatavotāji: </w:t>
      </w:r>
    </w:p>
    <w:p w:rsidR="00E42E25" w:rsidRPr="00E42E25" w:rsidRDefault="00E42E25" w:rsidP="00E42E25">
      <w:pPr>
        <w:ind w:right="-2" w:firstLine="720"/>
        <w:jc w:val="both"/>
        <w:rPr>
          <w:lang w:val="lv-LV"/>
        </w:rPr>
      </w:pPr>
      <w:r>
        <w:rPr>
          <w:lang w:val="lv-LV"/>
        </w:rPr>
        <w:t xml:space="preserve">- </w:t>
      </w:r>
      <w:r w:rsidRPr="00E42E25">
        <w:rPr>
          <w:lang w:val="lv-LV"/>
        </w:rPr>
        <w:t xml:space="preserve">Jēkabpils pilsētas pašvaldības Pilsētsaimniecības departamenta </w:t>
      </w:r>
      <w:r w:rsidRPr="00E42E25">
        <w:rPr>
          <w:lang w:val="lv-LV"/>
        </w:rPr>
        <w:t xml:space="preserve">ceļu inženieris Edgars </w:t>
      </w:r>
      <w:proofErr w:type="spellStart"/>
      <w:r w:rsidRPr="00E42E25">
        <w:rPr>
          <w:lang w:val="lv-LV"/>
        </w:rPr>
        <w:t>Lazdāns</w:t>
      </w:r>
      <w:proofErr w:type="spellEnd"/>
      <w:r w:rsidRPr="00E42E25">
        <w:rPr>
          <w:lang w:val="lv-LV"/>
        </w:rPr>
        <w:t>;</w:t>
      </w:r>
    </w:p>
    <w:p w:rsidR="00E42E25" w:rsidRPr="00E42E25" w:rsidRDefault="00E42E25" w:rsidP="00E42E25">
      <w:pPr>
        <w:ind w:right="-2" w:firstLine="720"/>
        <w:jc w:val="both"/>
        <w:rPr>
          <w:lang w:val="lv-LV"/>
        </w:rPr>
      </w:pPr>
      <w:r>
        <w:rPr>
          <w:lang w:val="lv-LV"/>
        </w:rPr>
        <w:t xml:space="preserve">- </w:t>
      </w:r>
      <w:r w:rsidRPr="00E42E25">
        <w:rPr>
          <w:lang w:val="lv-LV"/>
        </w:rPr>
        <w:t xml:space="preserve">Jēkabpils pilsētas pašvaldības </w:t>
      </w:r>
      <w:r>
        <w:rPr>
          <w:lang w:val="lv-LV"/>
        </w:rPr>
        <w:t xml:space="preserve">jurists Raimonds </w:t>
      </w:r>
      <w:proofErr w:type="spellStart"/>
      <w:r>
        <w:rPr>
          <w:lang w:val="lv-LV"/>
        </w:rPr>
        <w:t>Skrējāns</w:t>
      </w:r>
      <w:proofErr w:type="spellEnd"/>
      <w:r>
        <w:rPr>
          <w:lang w:val="lv-LV"/>
        </w:rPr>
        <w:t>.</w:t>
      </w:r>
    </w:p>
    <w:p w:rsidR="00E42E25" w:rsidRPr="00304AD9" w:rsidRDefault="00304AD9" w:rsidP="00304AD9">
      <w:pPr>
        <w:ind w:right="-2" w:firstLine="720"/>
        <w:jc w:val="both"/>
        <w:rPr>
          <w:lang w:val="lv-LV"/>
        </w:rPr>
      </w:pPr>
      <w:r>
        <w:rPr>
          <w:b/>
          <w:lang w:val="lv-LV"/>
        </w:rPr>
        <w:t xml:space="preserve">6. </w:t>
      </w:r>
      <w:r w:rsidR="00E42E25" w:rsidRPr="00304AD9">
        <w:rPr>
          <w:b/>
          <w:lang w:val="lv-LV"/>
        </w:rPr>
        <w:t>Piedāvājumu iesniegšanas termiņš –</w:t>
      </w:r>
      <w:r w:rsidR="00E42E25" w:rsidRPr="00304AD9">
        <w:rPr>
          <w:bCs/>
          <w:lang w:val="lv-LV"/>
        </w:rPr>
        <w:t xml:space="preserve"> līdz 2017.gada </w:t>
      </w:r>
      <w:r>
        <w:rPr>
          <w:bCs/>
          <w:lang w:val="lv-LV"/>
        </w:rPr>
        <w:t>15.decembrim</w:t>
      </w:r>
      <w:r w:rsidR="00E42E25" w:rsidRPr="00304AD9">
        <w:rPr>
          <w:bCs/>
          <w:lang w:val="lv-LV"/>
        </w:rPr>
        <w:t xml:space="preserve"> plkst. 10.00.</w:t>
      </w:r>
    </w:p>
    <w:p w:rsidR="00E42E25" w:rsidRDefault="00304AD9" w:rsidP="00E42E25">
      <w:pPr>
        <w:ind w:right="-2" w:firstLine="720"/>
        <w:jc w:val="both"/>
        <w:rPr>
          <w:b/>
          <w:lang w:val="lv-LV"/>
        </w:rPr>
      </w:pPr>
      <w:r>
        <w:rPr>
          <w:b/>
          <w:lang w:val="lv-LV"/>
        </w:rPr>
        <w:t xml:space="preserve">7. </w:t>
      </w:r>
      <w:r w:rsidR="00E42E25" w:rsidRPr="00304AD9">
        <w:rPr>
          <w:b/>
          <w:lang w:val="lv-LV"/>
        </w:rPr>
        <w:t>Piegādātāju nosaukumi, kuri ir iesnieguši piedāvājumus, kā arī piedāvātās cenas:</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4270"/>
        <w:gridCol w:w="1985"/>
        <w:gridCol w:w="2268"/>
      </w:tblGrid>
      <w:tr w:rsidR="00E42E25" w:rsidTr="00FA64C7">
        <w:tc>
          <w:tcPr>
            <w:tcW w:w="720" w:type="dxa"/>
            <w:tcBorders>
              <w:top w:val="single" w:sz="4" w:space="0" w:color="auto"/>
              <w:left w:val="single" w:sz="4" w:space="0" w:color="auto"/>
              <w:bottom w:val="single" w:sz="4" w:space="0" w:color="auto"/>
              <w:right w:val="single" w:sz="4" w:space="0" w:color="auto"/>
            </w:tcBorders>
          </w:tcPr>
          <w:p w:rsidR="00E42E25" w:rsidRDefault="00E42E25" w:rsidP="00FA64C7">
            <w:pPr>
              <w:pStyle w:val="BodyText"/>
              <w:tabs>
                <w:tab w:val="left" w:pos="504"/>
              </w:tabs>
              <w:ind w:right="-2"/>
              <w:jc w:val="left"/>
              <w:rPr>
                <w:b/>
                <w:szCs w:val="22"/>
              </w:rPr>
            </w:pPr>
            <w:r>
              <w:rPr>
                <w:b/>
                <w:szCs w:val="22"/>
              </w:rPr>
              <w:t>Nr.</w:t>
            </w:r>
          </w:p>
          <w:p w:rsidR="00E42E25" w:rsidRDefault="00E42E25" w:rsidP="00FA64C7">
            <w:pPr>
              <w:pStyle w:val="BodyText"/>
              <w:tabs>
                <w:tab w:val="left" w:pos="504"/>
              </w:tabs>
              <w:ind w:right="-2"/>
              <w:jc w:val="left"/>
              <w:rPr>
                <w:b/>
                <w:szCs w:val="22"/>
              </w:rPr>
            </w:pPr>
            <w:r>
              <w:rPr>
                <w:b/>
                <w:szCs w:val="22"/>
              </w:rPr>
              <w:t>p.k.</w:t>
            </w:r>
          </w:p>
        </w:tc>
        <w:tc>
          <w:tcPr>
            <w:tcW w:w="4270" w:type="dxa"/>
            <w:tcBorders>
              <w:top w:val="single" w:sz="4" w:space="0" w:color="auto"/>
              <w:left w:val="single" w:sz="4" w:space="0" w:color="auto"/>
              <w:bottom w:val="single" w:sz="4" w:space="0" w:color="auto"/>
              <w:right w:val="single" w:sz="4" w:space="0" w:color="auto"/>
            </w:tcBorders>
          </w:tcPr>
          <w:p w:rsidR="00E42E25" w:rsidRDefault="00E42E25" w:rsidP="00FA64C7">
            <w:pPr>
              <w:pStyle w:val="BodyText"/>
              <w:ind w:right="-2"/>
              <w:jc w:val="center"/>
              <w:rPr>
                <w:b/>
                <w:szCs w:val="22"/>
              </w:rPr>
            </w:pPr>
            <w:r>
              <w:rPr>
                <w:b/>
                <w:szCs w:val="22"/>
              </w:rPr>
              <w:t>Pretendents</w:t>
            </w:r>
          </w:p>
          <w:p w:rsidR="00E42E25" w:rsidRDefault="00E42E25" w:rsidP="00FA64C7">
            <w:pPr>
              <w:pStyle w:val="BodyText"/>
              <w:ind w:right="-2"/>
              <w:jc w:val="center"/>
              <w:rPr>
                <w:szCs w:val="22"/>
              </w:rPr>
            </w:pPr>
            <w:r>
              <w:rPr>
                <w:szCs w:val="22"/>
              </w:rPr>
              <w:t xml:space="preserve">(nosaukums, Vienot. </w:t>
            </w:r>
            <w:proofErr w:type="spellStart"/>
            <w:r>
              <w:rPr>
                <w:szCs w:val="22"/>
              </w:rPr>
              <w:t>Reģ</w:t>
            </w:r>
            <w:proofErr w:type="spellEnd"/>
            <w:r>
              <w:rPr>
                <w:szCs w:val="22"/>
              </w:rPr>
              <w:t>. Nr.,</w:t>
            </w:r>
          </w:p>
          <w:p w:rsidR="00E42E25" w:rsidRDefault="00E42E25" w:rsidP="00FA64C7">
            <w:pPr>
              <w:pStyle w:val="BodyText"/>
              <w:ind w:right="-2"/>
              <w:jc w:val="center"/>
              <w:rPr>
                <w:szCs w:val="22"/>
              </w:rPr>
            </w:pPr>
            <w:r>
              <w:rPr>
                <w:szCs w:val="22"/>
              </w:rPr>
              <w:t>adrese)</w:t>
            </w:r>
          </w:p>
        </w:tc>
        <w:tc>
          <w:tcPr>
            <w:tcW w:w="1985" w:type="dxa"/>
            <w:tcBorders>
              <w:top w:val="single" w:sz="4" w:space="0" w:color="auto"/>
              <w:left w:val="single" w:sz="4" w:space="0" w:color="auto"/>
              <w:bottom w:val="single" w:sz="4" w:space="0" w:color="auto"/>
              <w:right w:val="single" w:sz="4" w:space="0" w:color="auto"/>
            </w:tcBorders>
          </w:tcPr>
          <w:p w:rsidR="00E42E25" w:rsidRDefault="00E42E25" w:rsidP="00FA64C7">
            <w:pPr>
              <w:pStyle w:val="BodyText"/>
              <w:ind w:right="-2"/>
              <w:jc w:val="center"/>
              <w:rPr>
                <w:b/>
                <w:szCs w:val="22"/>
              </w:rPr>
            </w:pPr>
            <w:r>
              <w:rPr>
                <w:b/>
                <w:szCs w:val="22"/>
              </w:rPr>
              <w:t>Piedāvājuma</w:t>
            </w:r>
          </w:p>
          <w:p w:rsidR="00E42E25" w:rsidRDefault="00E42E25" w:rsidP="00FA64C7">
            <w:pPr>
              <w:pStyle w:val="BodyText"/>
              <w:ind w:right="-2"/>
              <w:jc w:val="center"/>
              <w:rPr>
                <w:b/>
                <w:szCs w:val="22"/>
              </w:rPr>
            </w:pPr>
            <w:r>
              <w:rPr>
                <w:b/>
                <w:szCs w:val="22"/>
              </w:rPr>
              <w:t>iesniegšanas datums</w:t>
            </w:r>
          </w:p>
          <w:p w:rsidR="00E42E25" w:rsidRDefault="00E42E25" w:rsidP="00FA64C7">
            <w:pPr>
              <w:pStyle w:val="BodyText"/>
              <w:ind w:right="-2"/>
              <w:jc w:val="center"/>
              <w:rPr>
                <w:b/>
                <w:szCs w:val="22"/>
              </w:rPr>
            </w:pPr>
            <w:r>
              <w:rPr>
                <w:b/>
                <w:szCs w:val="22"/>
              </w:rPr>
              <w:t>un laiks</w:t>
            </w:r>
          </w:p>
        </w:tc>
        <w:tc>
          <w:tcPr>
            <w:tcW w:w="2268" w:type="dxa"/>
            <w:tcBorders>
              <w:top w:val="single" w:sz="4" w:space="0" w:color="auto"/>
              <w:left w:val="single" w:sz="4" w:space="0" w:color="auto"/>
              <w:bottom w:val="single" w:sz="4" w:space="0" w:color="auto"/>
              <w:right w:val="single" w:sz="4" w:space="0" w:color="auto"/>
            </w:tcBorders>
          </w:tcPr>
          <w:p w:rsidR="00E42E25" w:rsidRDefault="00E42E25" w:rsidP="00FA64C7">
            <w:pPr>
              <w:pStyle w:val="BodyText"/>
              <w:ind w:right="-2"/>
              <w:jc w:val="center"/>
              <w:rPr>
                <w:b/>
                <w:szCs w:val="22"/>
              </w:rPr>
            </w:pPr>
            <w:r>
              <w:rPr>
                <w:b/>
                <w:szCs w:val="22"/>
              </w:rPr>
              <w:t>Piedāvātā</w:t>
            </w:r>
          </w:p>
          <w:p w:rsidR="00E42E25" w:rsidRDefault="00E42E25" w:rsidP="00FA64C7">
            <w:pPr>
              <w:pStyle w:val="BodyText"/>
              <w:ind w:right="-2"/>
              <w:jc w:val="center"/>
              <w:rPr>
                <w:b/>
                <w:szCs w:val="22"/>
              </w:rPr>
            </w:pPr>
            <w:r>
              <w:rPr>
                <w:b/>
                <w:szCs w:val="22"/>
              </w:rPr>
              <w:t>līgumsumma</w:t>
            </w:r>
          </w:p>
          <w:p w:rsidR="00E42E25" w:rsidRDefault="00E42E25" w:rsidP="00FA64C7">
            <w:pPr>
              <w:pStyle w:val="BodyText"/>
              <w:ind w:right="-2"/>
              <w:jc w:val="center"/>
              <w:rPr>
                <w:b/>
                <w:szCs w:val="22"/>
              </w:rPr>
            </w:pPr>
            <w:r>
              <w:rPr>
                <w:b/>
                <w:szCs w:val="22"/>
              </w:rPr>
              <w:t>(</w:t>
            </w:r>
            <w:r>
              <w:rPr>
                <w:b/>
                <w:i/>
                <w:iCs/>
                <w:szCs w:val="22"/>
              </w:rPr>
              <w:t>EUR</w:t>
            </w:r>
            <w:r>
              <w:rPr>
                <w:b/>
                <w:szCs w:val="22"/>
              </w:rPr>
              <w:t xml:space="preserve"> bez</w:t>
            </w:r>
          </w:p>
          <w:p w:rsidR="00E42E25" w:rsidRDefault="00E42E25" w:rsidP="00FA64C7">
            <w:pPr>
              <w:pStyle w:val="BodyText"/>
              <w:ind w:right="-2"/>
              <w:jc w:val="center"/>
              <w:rPr>
                <w:b/>
                <w:szCs w:val="22"/>
              </w:rPr>
            </w:pPr>
            <w:r>
              <w:rPr>
                <w:b/>
                <w:szCs w:val="22"/>
              </w:rPr>
              <w:t>PVN)</w:t>
            </w:r>
          </w:p>
        </w:tc>
      </w:tr>
      <w:tr w:rsidR="00E42E25" w:rsidRPr="00304AD9" w:rsidTr="00FA64C7">
        <w:tc>
          <w:tcPr>
            <w:tcW w:w="720" w:type="dxa"/>
            <w:tcBorders>
              <w:top w:val="single" w:sz="4" w:space="0" w:color="auto"/>
              <w:left w:val="single" w:sz="4" w:space="0" w:color="auto"/>
              <w:bottom w:val="single" w:sz="4" w:space="0" w:color="auto"/>
              <w:right w:val="single" w:sz="4" w:space="0" w:color="auto"/>
            </w:tcBorders>
          </w:tcPr>
          <w:p w:rsidR="00E42E25" w:rsidRDefault="00E42E25" w:rsidP="00FA64C7">
            <w:pPr>
              <w:pStyle w:val="BodyText"/>
              <w:ind w:right="-2"/>
              <w:jc w:val="center"/>
              <w:rPr>
                <w:szCs w:val="22"/>
              </w:rPr>
            </w:pPr>
          </w:p>
          <w:p w:rsidR="00E42E25" w:rsidRDefault="00E42E25" w:rsidP="00FA64C7">
            <w:pPr>
              <w:pStyle w:val="BodyText"/>
              <w:ind w:right="-2"/>
              <w:jc w:val="center"/>
              <w:rPr>
                <w:szCs w:val="22"/>
              </w:rPr>
            </w:pPr>
            <w:r>
              <w:rPr>
                <w:szCs w:val="22"/>
              </w:rPr>
              <w:t xml:space="preserve"> 1.</w:t>
            </w:r>
          </w:p>
        </w:tc>
        <w:tc>
          <w:tcPr>
            <w:tcW w:w="4270" w:type="dxa"/>
            <w:tcBorders>
              <w:top w:val="single" w:sz="4" w:space="0" w:color="auto"/>
              <w:left w:val="single" w:sz="4" w:space="0" w:color="auto"/>
              <w:bottom w:val="single" w:sz="4" w:space="0" w:color="auto"/>
              <w:right w:val="single" w:sz="4" w:space="0" w:color="auto"/>
            </w:tcBorders>
          </w:tcPr>
          <w:p w:rsidR="00E42E25" w:rsidRDefault="00E42E25" w:rsidP="00FA64C7">
            <w:pPr>
              <w:pStyle w:val="BodyText"/>
              <w:ind w:right="-2"/>
              <w:jc w:val="left"/>
              <w:rPr>
                <w:b/>
                <w:bCs/>
                <w:color w:val="000000"/>
              </w:rPr>
            </w:pPr>
            <w:r>
              <w:rPr>
                <w:b/>
                <w:bCs/>
                <w:color w:val="000000"/>
              </w:rPr>
              <w:t>AS “Latvijas autoceļu uzturētājs”,</w:t>
            </w:r>
          </w:p>
          <w:p w:rsidR="00E42E25" w:rsidRDefault="00E42E25" w:rsidP="00FA64C7">
            <w:pPr>
              <w:pStyle w:val="BodyText"/>
              <w:ind w:right="-2"/>
              <w:jc w:val="left"/>
              <w:rPr>
                <w:color w:val="000000"/>
              </w:rPr>
            </w:pPr>
            <w:proofErr w:type="spellStart"/>
            <w:r>
              <w:rPr>
                <w:color w:val="000000"/>
              </w:rPr>
              <w:t>Reģ.Nr</w:t>
            </w:r>
            <w:proofErr w:type="spellEnd"/>
            <w:r>
              <w:rPr>
                <w:color w:val="000000"/>
              </w:rPr>
              <w:t>. 40003356530,</w:t>
            </w:r>
          </w:p>
          <w:p w:rsidR="00E42E25" w:rsidRDefault="00E42E25" w:rsidP="00FA64C7">
            <w:pPr>
              <w:pStyle w:val="BodyText"/>
              <w:ind w:right="-2"/>
              <w:jc w:val="left"/>
              <w:rPr>
                <w:color w:val="000000"/>
              </w:rPr>
            </w:pPr>
            <w:r>
              <w:rPr>
                <w:color w:val="000000"/>
              </w:rPr>
              <w:t xml:space="preserve">Brīvības iela 2, </w:t>
            </w:r>
            <w:proofErr w:type="spellStart"/>
            <w:r>
              <w:rPr>
                <w:color w:val="000000"/>
              </w:rPr>
              <w:t>Brodi</w:t>
            </w:r>
            <w:proofErr w:type="spellEnd"/>
            <w:r>
              <w:rPr>
                <w:color w:val="000000"/>
              </w:rPr>
              <w:t>,</w:t>
            </w:r>
          </w:p>
          <w:p w:rsidR="00E42E25" w:rsidRDefault="00E42E25" w:rsidP="00FA64C7">
            <w:pPr>
              <w:pStyle w:val="BodyText"/>
              <w:ind w:right="-2"/>
              <w:jc w:val="left"/>
              <w:rPr>
                <w:color w:val="000000"/>
                <w:szCs w:val="22"/>
              </w:rPr>
            </w:pPr>
            <w:r>
              <w:rPr>
                <w:color w:val="000000"/>
              </w:rPr>
              <w:t>Ābeļu pag., Jēkabpils novads, LV-5201</w:t>
            </w:r>
          </w:p>
        </w:tc>
        <w:tc>
          <w:tcPr>
            <w:tcW w:w="1985" w:type="dxa"/>
            <w:tcBorders>
              <w:top w:val="single" w:sz="4" w:space="0" w:color="auto"/>
              <w:left w:val="single" w:sz="4" w:space="0" w:color="auto"/>
              <w:bottom w:val="single" w:sz="4" w:space="0" w:color="auto"/>
              <w:right w:val="single" w:sz="4" w:space="0" w:color="auto"/>
            </w:tcBorders>
          </w:tcPr>
          <w:p w:rsidR="00E42E25" w:rsidRDefault="00E42E25" w:rsidP="00FA64C7">
            <w:pPr>
              <w:pStyle w:val="BodyText"/>
              <w:ind w:right="-2"/>
              <w:jc w:val="center"/>
              <w:rPr>
                <w:szCs w:val="22"/>
              </w:rPr>
            </w:pPr>
          </w:p>
          <w:p w:rsidR="00E42E25" w:rsidRDefault="00304AD9" w:rsidP="00FA64C7">
            <w:pPr>
              <w:pStyle w:val="BodyText"/>
              <w:ind w:right="-2"/>
              <w:jc w:val="center"/>
              <w:rPr>
                <w:szCs w:val="22"/>
              </w:rPr>
            </w:pPr>
            <w:r>
              <w:rPr>
                <w:szCs w:val="22"/>
              </w:rPr>
              <w:t>15.12</w:t>
            </w:r>
            <w:r w:rsidR="00E42E25">
              <w:rPr>
                <w:szCs w:val="22"/>
              </w:rPr>
              <w:t>.201</w:t>
            </w:r>
            <w:r>
              <w:rPr>
                <w:szCs w:val="22"/>
              </w:rPr>
              <w:t>7</w:t>
            </w:r>
            <w:r w:rsidR="00E42E25">
              <w:rPr>
                <w:szCs w:val="22"/>
              </w:rPr>
              <w:t>.</w:t>
            </w:r>
          </w:p>
          <w:p w:rsidR="00E42E25" w:rsidRDefault="00E42E25" w:rsidP="00304AD9">
            <w:pPr>
              <w:pStyle w:val="BodyText"/>
              <w:ind w:right="-2"/>
              <w:jc w:val="center"/>
              <w:rPr>
                <w:szCs w:val="22"/>
              </w:rPr>
            </w:pPr>
            <w:r>
              <w:rPr>
                <w:szCs w:val="22"/>
              </w:rPr>
              <w:t>plkst.</w:t>
            </w:r>
            <w:r w:rsidR="00304AD9">
              <w:rPr>
                <w:szCs w:val="22"/>
              </w:rPr>
              <w:t>09:44</w:t>
            </w:r>
          </w:p>
        </w:tc>
        <w:tc>
          <w:tcPr>
            <w:tcW w:w="2268" w:type="dxa"/>
            <w:tcBorders>
              <w:top w:val="single" w:sz="4" w:space="0" w:color="auto"/>
              <w:left w:val="single" w:sz="4" w:space="0" w:color="auto"/>
              <w:bottom w:val="single" w:sz="4" w:space="0" w:color="auto"/>
              <w:right w:val="single" w:sz="4" w:space="0" w:color="auto"/>
            </w:tcBorders>
          </w:tcPr>
          <w:p w:rsidR="00E42E25" w:rsidRDefault="00E42E25" w:rsidP="00FA64C7">
            <w:pPr>
              <w:pStyle w:val="BodyText"/>
              <w:ind w:right="-2"/>
              <w:jc w:val="center"/>
              <w:rPr>
                <w:b/>
              </w:rPr>
            </w:pPr>
          </w:p>
          <w:p w:rsidR="00E42E25" w:rsidRPr="00A73C03" w:rsidRDefault="00E42E25" w:rsidP="00FA64C7">
            <w:pPr>
              <w:pStyle w:val="BodyText"/>
              <w:tabs>
                <w:tab w:val="left" w:pos="-108"/>
              </w:tabs>
              <w:ind w:right="-2" w:hanging="108"/>
              <w:jc w:val="center"/>
              <w:rPr>
                <w:b/>
                <w:color w:val="000000" w:themeColor="text1"/>
              </w:rPr>
            </w:pPr>
            <w:r w:rsidRPr="00A73C03">
              <w:rPr>
                <w:b/>
                <w:color w:val="000000" w:themeColor="text1"/>
              </w:rPr>
              <w:t>105 002,04</w:t>
            </w:r>
          </w:p>
          <w:p w:rsidR="00E42E25" w:rsidRDefault="00E42E25" w:rsidP="00FA64C7">
            <w:pPr>
              <w:pStyle w:val="BodyText"/>
              <w:ind w:right="-2"/>
              <w:jc w:val="center"/>
              <w:rPr>
                <w:b/>
              </w:rPr>
            </w:pPr>
          </w:p>
        </w:tc>
      </w:tr>
    </w:tbl>
    <w:p w:rsidR="00E42E25" w:rsidRDefault="00E42E25" w:rsidP="00E42E25">
      <w:pPr>
        <w:ind w:right="-2"/>
        <w:jc w:val="both"/>
        <w:rPr>
          <w:b/>
          <w:bCs/>
          <w:lang w:val="lv-LV"/>
        </w:rPr>
      </w:pPr>
    </w:p>
    <w:p w:rsidR="00304AD9" w:rsidRPr="00304AD9" w:rsidRDefault="00304AD9" w:rsidP="00304AD9">
      <w:pPr>
        <w:ind w:right="-2" w:firstLine="709"/>
        <w:jc w:val="both"/>
        <w:rPr>
          <w:lang w:val="lv-LV"/>
        </w:rPr>
      </w:pPr>
      <w:r>
        <w:rPr>
          <w:b/>
          <w:lang w:val="lv-LV"/>
        </w:rPr>
        <w:t xml:space="preserve">8. </w:t>
      </w:r>
      <w:r w:rsidRPr="00304AD9">
        <w:rPr>
          <w:b/>
          <w:lang w:val="lv-LV"/>
        </w:rPr>
        <w:t xml:space="preserve">Piedāvājumu atvēršanas vieta, datums un laiks – </w:t>
      </w:r>
      <w:r w:rsidRPr="00304AD9">
        <w:rPr>
          <w:lang w:val="lv-LV"/>
        </w:rPr>
        <w:t xml:space="preserve">Jēkabpils pilsētas pašvaldība, 209.kab., </w:t>
      </w:r>
      <w:r w:rsidRPr="00304AD9">
        <w:rPr>
          <w:bCs/>
          <w:lang w:val="lv-LV"/>
        </w:rPr>
        <w:t xml:space="preserve">2017.gada </w:t>
      </w:r>
      <w:r>
        <w:rPr>
          <w:bCs/>
          <w:lang w:val="lv-LV"/>
        </w:rPr>
        <w:t>25.decembra</w:t>
      </w:r>
      <w:r w:rsidRPr="00304AD9">
        <w:rPr>
          <w:bCs/>
          <w:lang w:val="lv-LV"/>
        </w:rPr>
        <w:t xml:space="preserve"> plkst. 10.00.</w:t>
      </w:r>
    </w:p>
    <w:p w:rsidR="00304AD9" w:rsidRPr="00304AD9" w:rsidRDefault="00304AD9" w:rsidP="00304AD9">
      <w:pPr>
        <w:ind w:right="-2" w:firstLine="709"/>
        <w:jc w:val="both"/>
        <w:rPr>
          <w:b/>
          <w:lang w:val="lv-LV"/>
        </w:rPr>
      </w:pPr>
      <w:r>
        <w:rPr>
          <w:b/>
          <w:lang w:val="lv-LV"/>
        </w:rPr>
        <w:t xml:space="preserve">9. </w:t>
      </w:r>
      <w:r w:rsidRPr="00304AD9">
        <w:rPr>
          <w:b/>
          <w:lang w:val="lv-LV"/>
        </w:rPr>
        <w:t xml:space="preserve">Pretendenta (vai pretendentu) nosaukums, kuram (vai kuriem) piešķirtas iepirkuma līguma slēgšanas tiesības, piedāvātā līgumcena, kā arī piedāvājumu izvērtēšanas kopsavilkums un piedāvājuma izvēles pamatojums: </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480"/>
        <w:gridCol w:w="2340"/>
      </w:tblGrid>
      <w:tr w:rsidR="00304AD9" w:rsidTr="00FA64C7">
        <w:tc>
          <w:tcPr>
            <w:tcW w:w="720" w:type="dxa"/>
            <w:tcBorders>
              <w:top w:val="single" w:sz="4" w:space="0" w:color="auto"/>
              <w:left w:val="single" w:sz="4" w:space="0" w:color="auto"/>
              <w:bottom w:val="single" w:sz="4" w:space="0" w:color="auto"/>
              <w:right w:val="single" w:sz="4" w:space="0" w:color="auto"/>
            </w:tcBorders>
          </w:tcPr>
          <w:p w:rsidR="00304AD9" w:rsidRDefault="00304AD9" w:rsidP="00FA64C7">
            <w:pPr>
              <w:pStyle w:val="BodyText"/>
              <w:ind w:right="-2"/>
              <w:jc w:val="left"/>
              <w:rPr>
                <w:b/>
                <w:szCs w:val="22"/>
              </w:rPr>
            </w:pPr>
            <w:r>
              <w:rPr>
                <w:b/>
                <w:szCs w:val="22"/>
              </w:rPr>
              <w:t xml:space="preserve">Nr. </w:t>
            </w:r>
          </w:p>
          <w:p w:rsidR="00304AD9" w:rsidRDefault="00304AD9" w:rsidP="00FA64C7">
            <w:pPr>
              <w:pStyle w:val="BodyText"/>
              <w:ind w:right="-2"/>
              <w:jc w:val="left"/>
              <w:rPr>
                <w:b/>
                <w:szCs w:val="22"/>
              </w:rPr>
            </w:pPr>
            <w:r>
              <w:rPr>
                <w:b/>
                <w:szCs w:val="22"/>
              </w:rPr>
              <w:t>p.k.</w:t>
            </w:r>
          </w:p>
        </w:tc>
        <w:tc>
          <w:tcPr>
            <w:tcW w:w="6480" w:type="dxa"/>
            <w:tcBorders>
              <w:top w:val="single" w:sz="4" w:space="0" w:color="auto"/>
              <w:left w:val="single" w:sz="4" w:space="0" w:color="auto"/>
              <w:bottom w:val="single" w:sz="4" w:space="0" w:color="auto"/>
              <w:right w:val="single" w:sz="4" w:space="0" w:color="auto"/>
            </w:tcBorders>
          </w:tcPr>
          <w:p w:rsidR="00304AD9" w:rsidRDefault="00304AD9" w:rsidP="00FA64C7">
            <w:pPr>
              <w:pStyle w:val="BodyText"/>
              <w:ind w:right="-2"/>
              <w:jc w:val="center"/>
              <w:rPr>
                <w:b/>
                <w:szCs w:val="22"/>
              </w:rPr>
            </w:pPr>
            <w:r>
              <w:rPr>
                <w:b/>
                <w:szCs w:val="22"/>
              </w:rPr>
              <w:t>Pretendents</w:t>
            </w:r>
          </w:p>
          <w:p w:rsidR="00304AD9" w:rsidRDefault="00304AD9" w:rsidP="00FA64C7">
            <w:pPr>
              <w:pStyle w:val="BodyText"/>
              <w:ind w:right="-2"/>
              <w:jc w:val="center"/>
              <w:rPr>
                <w:szCs w:val="22"/>
              </w:rPr>
            </w:pPr>
            <w:r>
              <w:rPr>
                <w:szCs w:val="22"/>
              </w:rPr>
              <w:t xml:space="preserve">(nosaukums, Vienot. </w:t>
            </w:r>
            <w:proofErr w:type="spellStart"/>
            <w:r>
              <w:rPr>
                <w:szCs w:val="22"/>
              </w:rPr>
              <w:t>Reģ</w:t>
            </w:r>
            <w:proofErr w:type="spellEnd"/>
            <w:r>
              <w:rPr>
                <w:szCs w:val="22"/>
              </w:rPr>
              <w:t>. Nr.,</w:t>
            </w:r>
          </w:p>
          <w:p w:rsidR="00304AD9" w:rsidRDefault="00304AD9" w:rsidP="00FA64C7">
            <w:pPr>
              <w:pStyle w:val="BodyText"/>
              <w:ind w:right="-2"/>
              <w:jc w:val="center"/>
              <w:rPr>
                <w:szCs w:val="22"/>
              </w:rPr>
            </w:pPr>
            <w:r>
              <w:rPr>
                <w:szCs w:val="22"/>
              </w:rPr>
              <w:t>adrese)</w:t>
            </w:r>
          </w:p>
        </w:tc>
        <w:tc>
          <w:tcPr>
            <w:tcW w:w="2340" w:type="dxa"/>
            <w:tcBorders>
              <w:top w:val="single" w:sz="4" w:space="0" w:color="auto"/>
              <w:left w:val="single" w:sz="4" w:space="0" w:color="auto"/>
              <w:bottom w:val="single" w:sz="4" w:space="0" w:color="auto"/>
              <w:right w:val="single" w:sz="4" w:space="0" w:color="auto"/>
            </w:tcBorders>
          </w:tcPr>
          <w:p w:rsidR="00304AD9" w:rsidRDefault="00304AD9" w:rsidP="00FA64C7">
            <w:pPr>
              <w:pStyle w:val="BodyText"/>
              <w:ind w:right="-2"/>
              <w:jc w:val="center"/>
              <w:rPr>
                <w:b/>
                <w:szCs w:val="22"/>
              </w:rPr>
            </w:pPr>
            <w:r>
              <w:rPr>
                <w:b/>
                <w:szCs w:val="22"/>
              </w:rPr>
              <w:t>Piedāvātā</w:t>
            </w:r>
          </w:p>
          <w:p w:rsidR="00304AD9" w:rsidRDefault="00304AD9" w:rsidP="00FA64C7">
            <w:pPr>
              <w:pStyle w:val="BodyText"/>
              <w:ind w:right="-2"/>
              <w:jc w:val="center"/>
              <w:rPr>
                <w:b/>
                <w:szCs w:val="22"/>
              </w:rPr>
            </w:pPr>
            <w:r>
              <w:rPr>
                <w:b/>
                <w:szCs w:val="22"/>
              </w:rPr>
              <w:t>līgumsumma</w:t>
            </w:r>
          </w:p>
          <w:p w:rsidR="00304AD9" w:rsidRDefault="00304AD9" w:rsidP="00FA64C7">
            <w:pPr>
              <w:pStyle w:val="BodyText"/>
              <w:ind w:right="-2"/>
              <w:jc w:val="center"/>
              <w:rPr>
                <w:b/>
                <w:szCs w:val="22"/>
              </w:rPr>
            </w:pPr>
            <w:r>
              <w:rPr>
                <w:b/>
                <w:szCs w:val="22"/>
              </w:rPr>
              <w:t>(</w:t>
            </w:r>
            <w:r>
              <w:rPr>
                <w:b/>
                <w:i/>
                <w:iCs/>
                <w:szCs w:val="22"/>
              </w:rPr>
              <w:t>EUR</w:t>
            </w:r>
            <w:r>
              <w:rPr>
                <w:b/>
                <w:szCs w:val="22"/>
              </w:rPr>
              <w:t xml:space="preserve"> bez PVN)</w:t>
            </w:r>
          </w:p>
        </w:tc>
      </w:tr>
      <w:tr w:rsidR="00304AD9" w:rsidTr="00FA64C7">
        <w:tc>
          <w:tcPr>
            <w:tcW w:w="720" w:type="dxa"/>
            <w:tcBorders>
              <w:top w:val="single" w:sz="4" w:space="0" w:color="auto"/>
              <w:left w:val="single" w:sz="4" w:space="0" w:color="auto"/>
              <w:bottom w:val="single" w:sz="4" w:space="0" w:color="auto"/>
              <w:right w:val="single" w:sz="4" w:space="0" w:color="auto"/>
            </w:tcBorders>
          </w:tcPr>
          <w:p w:rsidR="00304AD9" w:rsidRDefault="00304AD9" w:rsidP="00FA64C7">
            <w:pPr>
              <w:pStyle w:val="BodyText"/>
              <w:ind w:right="-2"/>
              <w:jc w:val="center"/>
              <w:rPr>
                <w:szCs w:val="22"/>
              </w:rPr>
            </w:pPr>
          </w:p>
          <w:p w:rsidR="00304AD9" w:rsidRDefault="00304AD9" w:rsidP="00FA64C7">
            <w:pPr>
              <w:pStyle w:val="BodyText"/>
              <w:ind w:right="-2"/>
              <w:jc w:val="left"/>
              <w:rPr>
                <w:szCs w:val="22"/>
              </w:rPr>
            </w:pPr>
            <w:r>
              <w:rPr>
                <w:szCs w:val="22"/>
              </w:rPr>
              <w:t xml:space="preserve"> 1.  </w:t>
            </w:r>
          </w:p>
          <w:p w:rsidR="00304AD9" w:rsidRDefault="00304AD9" w:rsidP="00FA64C7">
            <w:pPr>
              <w:pStyle w:val="BodyText"/>
              <w:ind w:right="-2"/>
              <w:jc w:val="center"/>
              <w:rPr>
                <w:szCs w:val="22"/>
              </w:rPr>
            </w:pPr>
          </w:p>
        </w:tc>
        <w:tc>
          <w:tcPr>
            <w:tcW w:w="6480" w:type="dxa"/>
            <w:tcBorders>
              <w:top w:val="single" w:sz="4" w:space="0" w:color="auto"/>
              <w:left w:val="single" w:sz="4" w:space="0" w:color="auto"/>
              <w:bottom w:val="single" w:sz="4" w:space="0" w:color="auto"/>
              <w:right w:val="single" w:sz="4" w:space="0" w:color="auto"/>
            </w:tcBorders>
          </w:tcPr>
          <w:p w:rsidR="00304AD9" w:rsidRDefault="00304AD9" w:rsidP="00FA64C7">
            <w:pPr>
              <w:pStyle w:val="BodyText"/>
              <w:ind w:right="-2"/>
              <w:jc w:val="left"/>
              <w:rPr>
                <w:b/>
                <w:bCs/>
                <w:color w:val="000000"/>
              </w:rPr>
            </w:pPr>
            <w:r>
              <w:rPr>
                <w:b/>
                <w:bCs/>
                <w:color w:val="000000"/>
              </w:rPr>
              <w:t>AS “Latvijas autoceļu uzturētājs” Jēkabpils ceļu rajons,</w:t>
            </w:r>
          </w:p>
          <w:p w:rsidR="00304AD9" w:rsidRDefault="00304AD9" w:rsidP="00FA64C7">
            <w:pPr>
              <w:pStyle w:val="BodyText"/>
              <w:ind w:right="-2"/>
              <w:jc w:val="left"/>
              <w:rPr>
                <w:color w:val="000000"/>
              </w:rPr>
            </w:pPr>
            <w:proofErr w:type="spellStart"/>
            <w:r>
              <w:rPr>
                <w:color w:val="000000"/>
              </w:rPr>
              <w:t>Reģ.Nr</w:t>
            </w:r>
            <w:proofErr w:type="spellEnd"/>
            <w:r>
              <w:rPr>
                <w:color w:val="000000"/>
              </w:rPr>
              <w:t>. 40003356530,</w:t>
            </w:r>
          </w:p>
          <w:p w:rsidR="00304AD9" w:rsidRDefault="00304AD9" w:rsidP="00FA64C7">
            <w:pPr>
              <w:pStyle w:val="BodyText"/>
              <w:ind w:right="-2"/>
              <w:jc w:val="left"/>
              <w:rPr>
                <w:color w:val="000000"/>
                <w:szCs w:val="22"/>
              </w:rPr>
            </w:pPr>
            <w:r>
              <w:rPr>
                <w:color w:val="000000"/>
              </w:rPr>
              <w:t xml:space="preserve">Brīvības iela 2, </w:t>
            </w:r>
            <w:proofErr w:type="spellStart"/>
            <w:r>
              <w:rPr>
                <w:color w:val="000000"/>
              </w:rPr>
              <w:t>Brodi</w:t>
            </w:r>
            <w:proofErr w:type="spellEnd"/>
            <w:r>
              <w:rPr>
                <w:color w:val="000000"/>
              </w:rPr>
              <w:t>, Ābeļu pag., Jēkabpils novads, LV-5201</w:t>
            </w:r>
          </w:p>
        </w:tc>
        <w:tc>
          <w:tcPr>
            <w:tcW w:w="2340" w:type="dxa"/>
            <w:tcBorders>
              <w:top w:val="single" w:sz="4" w:space="0" w:color="auto"/>
              <w:left w:val="single" w:sz="4" w:space="0" w:color="auto"/>
              <w:bottom w:val="single" w:sz="4" w:space="0" w:color="auto"/>
              <w:right w:val="single" w:sz="4" w:space="0" w:color="auto"/>
            </w:tcBorders>
          </w:tcPr>
          <w:p w:rsidR="00304AD9" w:rsidRDefault="00304AD9" w:rsidP="00FA64C7">
            <w:pPr>
              <w:pStyle w:val="BodyText"/>
              <w:ind w:right="-2"/>
              <w:jc w:val="center"/>
              <w:rPr>
                <w:b/>
              </w:rPr>
            </w:pPr>
          </w:p>
          <w:p w:rsidR="00304AD9" w:rsidRDefault="00304AD9" w:rsidP="00FA64C7">
            <w:pPr>
              <w:pStyle w:val="BodyText"/>
              <w:ind w:right="-2"/>
              <w:jc w:val="center"/>
              <w:rPr>
                <w:b/>
              </w:rPr>
            </w:pPr>
            <w:r>
              <w:rPr>
                <w:b/>
              </w:rPr>
              <w:t>105 002,04</w:t>
            </w:r>
          </w:p>
        </w:tc>
      </w:tr>
    </w:tbl>
    <w:p w:rsidR="00304AD9" w:rsidRDefault="00304AD9" w:rsidP="00304AD9">
      <w:pPr>
        <w:ind w:right="-2" w:firstLine="720"/>
        <w:jc w:val="both"/>
        <w:rPr>
          <w:bCs/>
          <w:color w:val="000000"/>
          <w:lang w:val="lv-LV"/>
        </w:rPr>
      </w:pPr>
      <w:r>
        <w:rPr>
          <w:color w:val="000000"/>
          <w:lang w:val="lv-LV"/>
        </w:rPr>
        <w:lastRenderedPageBreak/>
        <w:t>Pa</w:t>
      </w:r>
      <w:bookmarkStart w:id="0" w:name="_GoBack"/>
      <w:bookmarkEnd w:id="0"/>
      <w:r>
        <w:rPr>
          <w:color w:val="000000"/>
          <w:lang w:val="lv-LV"/>
        </w:rPr>
        <w:t>matojums piedāvājuma izvēlei :</w:t>
      </w:r>
      <w:r>
        <w:rPr>
          <w:b/>
          <w:bCs/>
          <w:color w:val="000000"/>
          <w:lang w:val="lv-LV"/>
        </w:rPr>
        <w:t xml:space="preserve"> </w:t>
      </w:r>
      <w:r w:rsidRPr="00304AD9">
        <w:rPr>
          <w:bCs/>
          <w:color w:val="000000"/>
          <w:lang w:val="lv-LV"/>
        </w:rPr>
        <w:t xml:space="preserve">saimnieciski visizdevīgākais piedāvājums, kas noteikt, ņemot vērā piedāvāto līgumcenu, </w:t>
      </w:r>
      <w:r>
        <w:rPr>
          <w:bCs/>
          <w:lang w:val="lv-LV"/>
        </w:rPr>
        <w:t>un</w:t>
      </w:r>
      <w:r>
        <w:rPr>
          <w:bCs/>
          <w:color w:val="000000"/>
          <w:lang w:val="lv-LV"/>
        </w:rPr>
        <w:t>,</w:t>
      </w:r>
      <w:r>
        <w:rPr>
          <w:b/>
          <w:color w:val="000000"/>
          <w:lang w:val="lv-LV"/>
        </w:rPr>
        <w:t xml:space="preserve"> </w:t>
      </w:r>
      <w:r>
        <w:rPr>
          <w:bCs/>
          <w:color w:val="000000"/>
          <w:lang w:val="lv-LV"/>
        </w:rPr>
        <w:t>kas atbilst Nolikuma prasībām.</w:t>
      </w:r>
    </w:p>
    <w:p w:rsidR="00304AD9" w:rsidRPr="00304AD9" w:rsidRDefault="00304AD9" w:rsidP="00304AD9">
      <w:pPr>
        <w:ind w:right="-2" w:firstLine="720"/>
        <w:jc w:val="both"/>
        <w:rPr>
          <w:b/>
          <w:lang w:val="lv-LV"/>
        </w:rPr>
      </w:pPr>
    </w:p>
    <w:p w:rsidR="00304AD9" w:rsidRDefault="00304AD9" w:rsidP="00304AD9">
      <w:pPr>
        <w:ind w:right="-2" w:firstLine="720"/>
        <w:jc w:val="both"/>
        <w:rPr>
          <w:bCs/>
          <w:lang w:val="lv-LV"/>
        </w:rPr>
      </w:pPr>
      <w:r>
        <w:rPr>
          <w:b/>
        </w:rPr>
        <w:t xml:space="preserve">10. </w:t>
      </w:r>
      <w:r w:rsidRPr="00304AD9">
        <w:rPr>
          <w:b/>
          <w:lang w:val="lv-LV"/>
        </w:rPr>
        <w:t>Informācija</w:t>
      </w:r>
      <w:r w:rsidRPr="00304AD9">
        <w:rPr>
          <w:b/>
          <w:bCs/>
          <w:lang w:val="lv-LV"/>
        </w:rPr>
        <w:t xml:space="preserve"> (</w:t>
      </w:r>
      <w:proofErr w:type="gramStart"/>
      <w:r w:rsidRPr="00304AD9">
        <w:rPr>
          <w:b/>
          <w:bCs/>
          <w:lang w:val="lv-LV"/>
        </w:rPr>
        <w:t>ja</w:t>
      </w:r>
      <w:proofErr w:type="gramEnd"/>
      <w:r w:rsidRPr="00304AD9">
        <w:rPr>
          <w:b/>
          <w:bCs/>
          <w:lang w:val="lv-LV"/>
        </w:rPr>
        <w:t xml:space="preserve"> tā ir zināma) par to iepirkuma līguma vai vispārīgās vienošanās daļu, kuru izraudzītais pretendents plānojis nodot apakšuzņēmējiem, kā arī apakšuzņēmēju nosaukumi: </w:t>
      </w:r>
      <w:r>
        <w:rPr>
          <w:bCs/>
          <w:lang w:val="lv-LV"/>
        </w:rPr>
        <w:t>Nav.</w:t>
      </w:r>
    </w:p>
    <w:p w:rsidR="00304AD9" w:rsidRDefault="00304AD9" w:rsidP="00304AD9">
      <w:pPr>
        <w:ind w:right="-2" w:firstLine="720"/>
        <w:jc w:val="both"/>
        <w:rPr>
          <w:b/>
          <w:bCs/>
          <w:lang w:val="lv-LV"/>
        </w:rPr>
      </w:pPr>
      <w:r>
        <w:rPr>
          <w:b/>
          <w:bCs/>
          <w:color w:val="000000"/>
          <w:lang w:val="lv-LV"/>
        </w:rPr>
        <w:t xml:space="preserve">11. </w:t>
      </w:r>
      <w:r w:rsidRPr="002B158C">
        <w:rPr>
          <w:b/>
          <w:bCs/>
          <w:color w:val="000000"/>
          <w:lang w:val="lv-LV"/>
        </w:rPr>
        <w:t>Pamatojums iepirkuma procedūras nepārtraukšanai, ja piedāvājumu iesniedzis tikai viens piegādātājs</w:t>
      </w:r>
      <w:r w:rsidRPr="002B158C">
        <w:rPr>
          <w:b/>
          <w:bCs/>
          <w:lang w:val="lv-LV"/>
        </w:rPr>
        <w:t>:</w:t>
      </w:r>
    </w:p>
    <w:p w:rsidR="00304AD9" w:rsidRPr="00F147A9" w:rsidRDefault="00304AD9" w:rsidP="00304AD9">
      <w:pPr>
        <w:ind w:right="-2" w:firstLine="720"/>
        <w:jc w:val="both"/>
        <w:rPr>
          <w:color w:val="000000"/>
          <w:lang w:val="lv-LV"/>
        </w:rPr>
      </w:pPr>
      <w:r>
        <w:rPr>
          <w:color w:val="000000"/>
          <w:lang w:val="lv-LV"/>
        </w:rPr>
        <w:t>11</w:t>
      </w:r>
      <w:r>
        <w:rPr>
          <w:color w:val="000000"/>
          <w:lang w:val="lv-LV"/>
        </w:rPr>
        <w:t>.1.</w:t>
      </w:r>
      <w:r w:rsidRPr="00F147A9">
        <w:rPr>
          <w:color w:val="000000"/>
          <w:lang w:val="lv-LV"/>
        </w:rPr>
        <w:t xml:space="preserve"> Atklātā konkursa nolikumā izvirzītās prasības ir objektīvas un samērīgas, nepamatoti neierobežo piegādātāju konkurenci, jo tās ir noteiktas samērīgi līguma priekšmetam, proti, objektīvi nepieciešamas iepirkuma līguma izpildei, jo </w:t>
      </w:r>
      <w:r w:rsidRPr="00F147A9">
        <w:rPr>
          <w:color w:val="000000"/>
          <w:lang w:val="lv-LV" w:eastAsia="lv-LV"/>
        </w:rPr>
        <w:t>apliecina piegādātāja spēju kvalitatīvi nodrošināt pakalpojuma izpildi, kā arī tam ir pieejama atbilstoša tehnika, bāze un attiecīgais personāls.</w:t>
      </w:r>
    </w:p>
    <w:p w:rsidR="00304AD9" w:rsidRPr="00F147A9" w:rsidRDefault="00304AD9" w:rsidP="00304AD9">
      <w:pPr>
        <w:ind w:firstLine="720"/>
        <w:jc w:val="both"/>
        <w:rPr>
          <w:lang w:val="lv-LV"/>
        </w:rPr>
      </w:pPr>
      <w:r>
        <w:rPr>
          <w:lang w:val="lv-LV"/>
        </w:rPr>
        <w:t>11.1</w:t>
      </w:r>
      <w:r w:rsidRPr="004D3AFE">
        <w:rPr>
          <w:lang w:val="lv-LV"/>
        </w:rPr>
        <w:t xml:space="preserve">.2. PIL 44.pants. </w:t>
      </w:r>
      <w:proofErr w:type="spellStart"/>
      <w:r w:rsidRPr="004D3AFE">
        <w:t>Atbilstība</w:t>
      </w:r>
      <w:proofErr w:type="spellEnd"/>
      <w:r w:rsidRPr="004D3AFE">
        <w:t xml:space="preserve"> </w:t>
      </w:r>
      <w:proofErr w:type="spellStart"/>
      <w:r w:rsidRPr="004D3AFE">
        <w:t>profesionālās</w:t>
      </w:r>
      <w:proofErr w:type="spellEnd"/>
      <w:r w:rsidRPr="004D3AFE">
        <w:t xml:space="preserve"> </w:t>
      </w:r>
      <w:proofErr w:type="spellStart"/>
      <w:r w:rsidRPr="004D3AFE">
        <w:t>darbības</w:t>
      </w:r>
      <w:proofErr w:type="spellEnd"/>
      <w:r w:rsidRPr="004D3AFE">
        <w:t xml:space="preserve"> </w:t>
      </w:r>
      <w:proofErr w:type="spellStart"/>
      <w:r w:rsidRPr="004D3AFE">
        <w:t>veikšanai</w:t>
      </w:r>
      <w:proofErr w:type="spellEnd"/>
      <w:r w:rsidRPr="004D3AFE">
        <w:t xml:space="preserve">. </w:t>
      </w:r>
      <w:r w:rsidRPr="004D3AFE">
        <w:rPr>
          <w:lang w:val="lv-LV"/>
        </w:rPr>
        <w:t>Atbilstība profesionālās darbības veikšanai. Prasība par pretendentu atbilstību profesionālās darbības veikšanai ir samērīga un atbilst Publisko iepirkumu likuma 44.panta prasībām;</w:t>
      </w:r>
    </w:p>
    <w:p w:rsidR="00304AD9" w:rsidRDefault="00304AD9" w:rsidP="00304AD9">
      <w:pPr>
        <w:ind w:firstLine="720"/>
        <w:jc w:val="both"/>
      </w:pPr>
      <w:r>
        <w:t>11.1</w:t>
      </w:r>
      <w:r>
        <w:t xml:space="preserve">.3. PIL 45.pants. </w:t>
      </w:r>
      <w:proofErr w:type="spellStart"/>
      <w:r>
        <w:t>Saimnieciskais</w:t>
      </w:r>
      <w:proofErr w:type="spellEnd"/>
      <w:r>
        <w:t xml:space="preserve"> </w:t>
      </w:r>
      <w:proofErr w:type="gramStart"/>
      <w:r>
        <w:t>un</w:t>
      </w:r>
      <w:proofErr w:type="gramEnd"/>
      <w:r>
        <w:t xml:space="preserve"> </w:t>
      </w:r>
      <w:proofErr w:type="spellStart"/>
      <w:r>
        <w:t>finansiālais</w:t>
      </w:r>
      <w:proofErr w:type="spellEnd"/>
      <w:r>
        <w:t xml:space="preserve"> </w:t>
      </w:r>
      <w:proofErr w:type="spellStart"/>
      <w:r>
        <w:t>stāvoklis</w:t>
      </w:r>
      <w:proofErr w:type="spellEnd"/>
      <w:r>
        <w:t xml:space="preserve">. </w:t>
      </w:r>
      <w:proofErr w:type="spellStart"/>
      <w:r>
        <w:t>Prasības</w:t>
      </w:r>
      <w:proofErr w:type="spellEnd"/>
      <w:r>
        <w:t xml:space="preserve"> </w:t>
      </w:r>
      <w:proofErr w:type="spellStart"/>
      <w:r>
        <w:t>netika</w:t>
      </w:r>
      <w:proofErr w:type="spellEnd"/>
      <w:r>
        <w:t xml:space="preserve"> </w:t>
      </w:r>
      <w:proofErr w:type="spellStart"/>
      <w:r>
        <w:t>izvirzītas</w:t>
      </w:r>
      <w:proofErr w:type="spellEnd"/>
      <w:r>
        <w:t>;</w:t>
      </w:r>
    </w:p>
    <w:p w:rsidR="00304AD9" w:rsidRDefault="00304AD9" w:rsidP="00304AD9">
      <w:pPr>
        <w:ind w:right="-2" w:firstLine="720"/>
        <w:jc w:val="both"/>
        <w:rPr>
          <w:color w:val="000000"/>
          <w:lang w:val="lv-LV"/>
        </w:rPr>
      </w:pPr>
      <w:r>
        <w:t>11.1</w:t>
      </w:r>
      <w:r>
        <w:t xml:space="preserve">.4. PIL 46.pants. </w:t>
      </w:r>
      <w:r w:rsidRPr="004D0E91">
        <w:rPr>
          <w:lang w:val="lv-LV"/>
        </w:rPr>
        <w:t xml:space="preserve">Tehniskās un profesionālās spējas. </w:t>
      </w:r>
      <w:r>
        <w:rPr>
          <w:color w:val="000000"/>
          <w:lang w:val="lv-LV"/>
        </w:rPr>
        <w:t>Prasības Nolikumā tika izvirzītas minimālas: pretendentam iepriekšējo 3 gadu laikā jābūt sniegtam ne mazāk kā vienam pakalpojumam tranzīta ielu/ceļu uzturēšanā un pakalpojumā ietverto tranzīta ielu/ceļu garumam jābūt ne īsākam par 22 km; pretendentam jābūt nodrošinātam ar atbilstošu un pietiekošu tehnikas un mehānismu daudzumu pakalpojuma sniegšanai; pretendentam jāatrodas tādā attālumā, lai operatīvi spētu nodrošināt tranzīta ielu, kas ir valsts galvenā autoceļa turpinājums (sākums, nobeigums) uzturēšanas darbu veikšanu atbilstoši A1 uzturēšanas klases  prasībām un tranzīta ielu, kas ir Valsts 1.šķiras autoceļa turpinājums (sākums, nobeigums) uzturēšanu atbilstoši  A1 uzturēšanas klases prasībām, un tranzīta ielu, kas ir Valsts 2.šķiras autoceļa turpinājums (sākums, nobeigums) uzturēšanu atbilstoši B uzturēšanas klases prasībām.</w:t>
      </w:r>
    </w:p>
    <w:p w:rsidR="00304AD9" w:rsidRPr="00F147A9" w:rsidRDefault="00304AD9" w:rsidP="00304AD9">
      <w:pPr>
        <w:ind w:right="-2" w:firstLine="720"/>
        <w:jc w:val="both"/>
        <w:rPr>
          <w:color w:val="000000"/>
          <w:lang w:val="lv-LV"/>
        </w:rPr>
      </w:pPr>
      <w:r>
        <w:rPr>
          <w:color w:val="000000"/>
        </w:rPr>
        <w:t>11.1</w:t>
      </w:r>
      <w:r>
        <w:rPr>
          <w:color w:val="000000"/>
        </w:rPr>
        <w:t>.5.</w:t>
      </w:r>
      <w:r w:rsidRPr="00564DA0">
        <w:rPr>
          <w:color w:val="000000"/>
        </w:rPr>
        <w:t xml:space="preserve"> PIL 4</w:t>
      </w:r>
      <w:r>
        <w:rPr>
          <w:color w:val="000000"/>
        </w:rPr>
        <w:t>7</w:t>
      </w:r>
      <w:r w:rsidRPr="00564DA0">
        <w:rPr>
          <w:color w:val="000000"/>
        </w:rPr>
        <w:t xml:space="preserve">.pants. </w:t>
      </w:r>
      <w:r w:rsidRPr="00F147A9">
        <w:rPr>
          <w:color w:val="000000"/>
          <w:lang w:val="lv-LV"/>
        </w:rPr>
        <w:t>Kvalitātes nodrošināšanas standarti. Prasības netika izvirzītas;</w:t>
      </w:r>
    </w:p>
    <w:p w:rsidR="00304AD9" w:rsidRPr="00F147A9" w:rsidRDefault="00304AD9" w:rsidP="00304AD9">
      <w:pPr>
        <w:ind w:right="-2" w:firstLine="720"/>
        <w:jc w:val="both"/>
        <w:rPr>
          <w:color w:val="000000"/>
          <w:lang w:val="lv-LV"/>
        </w:rPr>
      </w:pPr>
      <w:r>
        <w:rPr>
          <w:color w:val="000000"/>
          <w:lang w:val="lv-LV"/>
        </w:rPr>
        <w:t>11.1</w:t>
      </w:r>
      <w:r>
        <w:rPr>
          <w:color w:val="000000"/>
          <w:lang w:val="lv-LV"/>
        </w:rPr>
        <w:t>.6</w:t>
      </w:r>
      <w:r w:rsidRPr="00F147A9">
        <w:rPr>
          <w:color w:val="000000"/>
          <w:lang w:val="lv-LV"/>
        </w:rPr>
        <w:t>. PIL 4</w:t>
      </w:r>
      <w:r>
        <w:rPr>
          <w:color w:val="000000"/>
          <w:lang w:val="lv-LV"/>
        </w:rPr>
        <w:t>8</w:t>
      </w:r>
      <w:r w:rsidRPr="00F147A9">
        <w:rPr>
          <w:color w:val="000000"/>
          <w:lang w:val="lv-LV"/>
        </w:rPr>
        <w:t>.pants. Vides vadības standarti. Prasības netika izvirzītas.</w:t>
      </w:r>
    </w:p>
    <w:p w:rsidR="00304AD9" w:rsidRPr="00F147A9" w:rsidRDefault="00304AD9" w:rsidP="00304AD9">
      <w:pPr>
        <w:ind w:right="-2" w:firstLine="720"/>
        <w:jc w:val="both"/>
        <w:rPr>
          <w:color w:val="FF0000"/>
          <w:lang w:val="lv-LV"/>
        </w:rPr>
      </w:pPr>
      <w:r>
        <w:rPr>
          <w:color w:val="000000"/>
          <w:lang w:val="lv-LV"/>
        </w:rPr>
        <w:t>11.2</w:t>
      </w:r>
      <w:r>
        <w:rPr>
          <w:color w:val="000000"/>
          <w:lang w:val="lv-LV"/>
        </w:rPr>
        <w:t>.</w:t>
      </w:r>
      <w:r w:rsidRPr="00F147A9">
        <w:rPr>
          <w:color w:val="000000"/>
          <w:lang w:val="lv-LV"/>
        </w:rPr>
        <w:t xml:space="preserve"> Neviens ieinteresētais piegādātājs nav apstrīdējis Nolikumā ietvertās prasības.</w:t>
      </w:r>
    </w:p>
    <w:p w:rsidR="00304AD9" w:rsidRPr="00F147A9" w:rsidRDefault="00304AD9" w:rsidP="00B174A7">
      <w:pPr>
        <w:ind w:firstLine="720"/>
        <w:rPr>
          <w:lang w:val="lv-LV"/>
        </w:rPr>
      </w:pPr>
      <w:r>
        <w:rPr>
          <w:lang w:val="lv-LV"/>
        </w:rPr>
        <w:t>11.3.</w:t>
      </w:r>
      <w:r w:rsidRPr="00F147A9">
        <w:rPr>
          <w:lang w:val="lv-LV"/>
        </w:rPr>
        <w:t xml:space="preserve"> Konkrētajā tirgū ir piegādātāji, kas atbilst iepirkumā noteiktajām pretendentu atlases prasībām, bet nav pieteikušies ar atlases prasībām nesaistītu iemeslu dēļ.</w:t>
      </w:r>
    </w:p>
    <w:p w:rsidR="00304AD9" w:rsidRDefault="00304AD9" w:rsidP="00B174A7">
      <w:pPr>
        <w:rPr>
          <w:lang w:val="lv-LV"/>
        </w:rPr>
      </w:pPr>
      <w:r w:rsidRPr="00F147A9">
        <w:rPr>
          <w:lang w:val="lv-LV"/>
        </w:rPr>
        <w:t xml:space="preserve">Ņemot vērā apstākļus, ka iepirkuma procedūra bija atklāta un izvirzītās atlases prasības ir </w:t>
      </w:r>
      <w:r>
        <w:rPr>
          <w:lang w:val="lv-LV"/>
        </w:rPr>
        <w:t xml:space="preserve">objektīvas un </w:t>
      </w:r>
      <w:r w:rsidRPr="00F147A9">
        <w:rPr>
          <w:lang w:val="lv-LV"/>
        </w:rPr>
        <w:t>samērīgas</w:t>
      </w:r>
      <w:r>
        <w:rPr>
          <w:lang w:val="lv-LV"/>
        </w:rPr>
        <w:t>,</w:t>
      </w:r>
      <w:r w:rsidRPr="00F147A9">
        <w:rPr>
          <w:lang w:val="lv-LV"/>
        </w:rPr>
        <w:t xml:space="preserve"> Pasūtītājs konstatēja, ka faktiskā situācija atbilst gadījumam, kad </w:t>
      </w:r>
      <w:r>
        <w:rPr>
          <w:lang w:val="lv-LV"/>
        </w:rPr>
        <w:t xml:space="preserve">Ministru kabineta noteikumu Nr.107 19.punkta </w:t>
      </w:r>
      <w:r w:rsidRPr="00F147A9">
        <w:rPr>
          <w:lang w:val="lv-LV"/>
        </w:rPr>
        <w:t xml:space="preserve">regulējums nevar tikt piemērots iepriekš minēto apsvērumu dēļ, un </w:t>
      </w:r>
      <w:r w:rsidRPr="00DC1645">
        <w:rPr>
          <w:u w:val="single"/>
          <w:lang w:val="lv-LV"/>
        </w:rPr>
        <w:t>pieņēma lēmumu turpināt iepirkuma procedūru</w:t>
      </w:r>
      <w:r w:rsidRPr="00F147A9">
        <w:rPr>
          <w:lang w:val="lv-LV"/>
        </w:rPr>
        <w:t>.</w:t>
      </w:r>
    </w:p>
    <w:p w:rsidR="00CF56EF" w:rsidRPr="00B174A7" w:rsidRDefault="00B174A7" w:rsidP="00B174A7">
      <w:pPr>
        <w:ind w:firstLine="720"/>
        <w:jc w:val="both"/>
        <w:rPr>
          <w:bCs/>
          <w:lang w:val="lv-LV"/>
        </w:rPr>
      </w:pPr>
      <w:r>
        <w:rPr>
          <w:b/>
          <w:bCs/>
          <w:lang w:val="lv-LV"/>
        </w:rPr>
        <w:t xml:space="preserve">12. </w:t>
      </w:r>
      <w:r w:rsidR="00CF56EF" w:rsidRPr="00B174A7">
        <w:rPr>
          <w:b/>
          <w:bCs/>
          <w:lang w:val="lv-LV"/>
        </w:rPr>
        <w:t xml:space="preserve">Lēmuma pamatojums, ja iepirkuma komisija pieņēmusi lēmumu pārtraukt vai izbeigt iepirkuma procedūru: </w:t>
      </w:r>
      <w:r w:rsidR="00CF56EF" w:rsidRPr="00B174A7">
        <w:rPr>
          <w:bCs/>
          <w:lang w:val="lv-LV"/>
        </w:rPr>
        <w:t xml:space="preserve">nav pārtraukta vai izbeigta iepirkuma procedūra. </w:t>
      </w:r>
    </w:p>
    <w:p w:rsidR="00CF56EF" w:rsidRPr="00B174A7" w:rsidRDefault="00B174A7" w:rsidP="00B174A7">
      <w:pPr>
        <w:ind w:right="-2" w:firstLine="720"/>
        <w:jc w:val="both"/>
        <w:rPr>
          <w:lang w:val="lv-LV"/>
        </w:rPr>
      </w:pPr>
      <w:r>
        <w:rPr>
          <w:b/>
          <w:lang w:val="lv-LV"/>
        </w:rPr>
        <w:t xml:space="preserve">13. </w:t>
      </w:r>
      <w:r w:rsidR="00CF56EF" w:rsidRPr="00B174A7">
        <w:rPr>
          <w:b/>
          <w:lang w:val="lv-LV"/>
        </w:rPr>
        <w:t xml:space="preserve">Piedāvājuma noraidīšanas pamatojums, ja iepirkuma komisija atzinusi piedāvājumu par nepamatoti lētu: </w:t>
      </w:r>
      <w:r w:rsidR="00CF56EF" w:rsidRPr="00B174A7">
        <w:rPr>
          <w:lang w:val="lv-LV"/>
        </w:rPr>
        <w:t xml:space="preserve">nav atzīts. </w:t>
      </w:r>
    </w:p>
    <w:p w:rsidR="00CF56EF" w:rsidRPr="00B174A7" w:rsidRDefault="00B174A7" w:rsidP="00B174A7">
      <w:pPr>
        <w:ind w:right="-2" w:firstLine="720"/>
        <w:jc w:val="both"/>
        <w:rPr>
          <w:lang w:val="lv-LV"/>
        </w:rPr>
      </w:pPr>
      <w:r>
        <w:rPr>
          <w:b/>
          <w:lang w:val="lv-LV"/>
        </w:rPr>
        <w:t xml:space="preserve">14. </w:t>
      </w:r>
      <w:r w:rsidR="00CF56EF" w:rsidRPr="00B174A7">
        <w:rPr>
          <w:b/>
          <w:lang w:val="lv-LV"/>
        </w:rPr>
        <w:t>Iemesli, kuru dēļ netiek paredzēta elektroniska piedāvājumu iesniegšana, ja pasūtītājam ir pienākums izmantot piedāvājumu saņemšanai elektroniskās informācijas sistēmas</w:t>
      </w:r>
      <w:r w:rsidR="00CF56EF" w:rsidRPr="00B174A7">
        <w:rPr>
          <w:lang w:val="lv-LV"/>
        </w:rPr>
        <w:t xml:space="preserve"> – nav pienākums. </w:t>
      </w:r>
    </w:p>
    <w:p w:rsidR="00CF56EF" w:rsidRPr="00B174A7" w:rsidRDefault="00B174A7" w:rsidP="00B174A7">
      <w:pPr>
        <w:ind w:right="-2" w:firstLine="720"/>
        <w:jc w:val="both"/>
        <w:rPr>
          <w:lang w:val="lv-LV"/>
        </w:rPr>
      </w:pPr>
      <w:r>
        <w:rPr>
          <w:b/>
          <w:lang w:val="lv-LV"/>
        </w:rPr>
        <w:t xml:space="preserve">15. </w:t>
      </w:r>
      <w:r w:rsidR="00CF56EF" w:rsidRPr="00B174A7">
        <w:rPr>
          <w:b/>
          <w:lang w:val="lv-LV"/>
        </w:rPr>
        <w:t xml:space="preserve">Konstatētie interešu konflikti un pasākumi, kas veikti to novēršanai: </w:t>
      </w:r>
      <w:r w:rsidR="00CF56EF" w:rsidRPr="00B174A7">
        <w:rPr>
          <w:lang w:val="lv-LV"/>
        </w:rPr>
        <w:t xml:space="preserve">nav konstatēti. </w:t>
      </w:r>
    </w:p>
    <w:p w:rsidR="00CF56EF" w:rsidRPr="002B158C" w:rsidRDefault="00CF56EF" w:rsidP="00CF56EF">
      <w:pPr>
        <w:pStyle w:val="ListParagraph"/>
        <w:rPr>
          <w:lang w:val="lv-LV"/>
        </w:rPr>
      </w:pPr>
    </w:p>
    <w:p w:rsidR="00CF56EF" w:rsidRPr="002B158C" w:rsidRDefault="00CF56EF" w:rsidP="00CF56EF">
      <w:pPr>
        <w:ind w:right="-2" w:firstLine="720"/>
        <w:jc w:val="both"/>
        <w:rPr>
          <w:bCs/>
          <w:lang w:val="lv-LV"/>
        </w:rPr>
      </w:pPr>
      <w:r>
        <w:rPr>
          <w:lang w:val="lv-LV"/>
        </w:rPr>
        <w:t>Pielikumā</w:t>
      </w:r>
      <w:r w:rsidRPr="002B158C">
        <w:rPr>
          <w:lang w:val="lv-LV"/>
        </w:rPr>
        <w:t>:</w:t>
      </w:r>
      <w:r w:rsidRPr="002B158C">
        <w:rPr>
          <w:bCs/>
          <w:lang w:val="lv-LV"/>
        </w:rPr>
        <w:t xml:space="preserve"> </w:t>
      </w:r>
    </w:p>
    <w:p w:rsidR="00CF56EF" w:rsidRPr="002B158C" w:rsidRDefault="00CF56EF" w:rsidP="00CF56EF">
      <w:pPr>
        <w:pStyle w:val="BodyText"/>
        <w:widowControl/>
        <w:numPr>
          <w:ilvl w:val="0"/>
          <w:numId w:val="3"/>
        </w:numPr>
        <w:ind w:right="-2"/>
        <w:rPr>
          <w:bCs/>
        </w:rPr>
      </w:pPr>
      <w:r w:rsidRPr="002B158C">
        <w:rPr>
          <w:bCs/>
        </w:rPr>
        <w:t>201</w:t>
      </w:r>
      <w:r>
        <w:rPr>
          <w:bCs/>
        </w:rPr>
        <w:t>7</w:t>
      </w:r>
      <w:r w:rsidRPr="002B158C">
        <w:rPr>
          <w:bCs/>
        </w:rPr>
        <w:t xml:space="preserve">.gada </w:t>
      </w:r>
      <w:r>
        <w:rPr>
          <w:bCs/>
        </w:rPr>
        <w:t>24.augusta</w:t>
      </w:r>
      <w:r w:rsidRPr="002B158C">
        <w:rPr>
          <w:bCs/>
        </w:rPr>
        <w:t xml:space="preserve"> Jēkabpils pilsētas domes sēdes lēmuma Nr.</w:t>
      </w:r>
      <w:r>
        <w:rPr>
          <w:bCs/>
        </w:rPr>
        <w:t>293</w:t>
      </w:r>
      <w:r w:rsidRPr="002B158C">
        <w:rPr>
          <w:bCs/>
        </w:rPr>
        <w:t xml:space="preserve"> (protokols Nr.</w:t>
      </w:r>
      <w:r>
        <w:rPr>
          <w:bCs/>
        </w:rPr>
        <w:t xml:space="preserve"> 22</w:t>
      </w:r>
      <w:r w:rsidRPr="002B158C">
        <w:rPr>
          <w:bCs/>
        </w:rPr>
        <w:t xml:space="preserve">., </w:t>
      </w:r>
      <w:r>
        <w:rPr>
          <w:bCs/>
        </w:rPr>
        <w:t>10</w:t>
      </w:r>
      <w:r w:rsidRPr="002B158C">
        <w:rPr>
          <w:bCs/>
        </w:rPr>
        <w:t xml:space="preserve">.§) kopija uz 1 </w:t>
      </w:r>
      <w:proofErr w:type="spellStart"/>
      <w:r w:rsidRPr="002B158C">
        <w:rPr>
          <w:bCs/>
        </w:rPr>
        <w:t>lp</w:t>
      </w:r>
      <w:proofErr w:type="spellEnd"/>
      <w:r w:rsidRPr="002B158C">
        <w:rPr>
          <w:bCs/>
        </w:rPr>
        <w:t>.;</w:t>
      </w:r>
    </w:p>
    <w:p w:rsidR="00CF56EF" w:rsidRPr="00647F26" w:rsidRDefault="00CF56EF" w:rsidP="00CF56EF">
      <w:pPr>
        <w:pStyle w:val="BodyText"/>
        <w:widowControl/>
        <w:numPr>
          <w:ilvl w:val="0"/>
          <w:numId w:val="3"/>
        </w:numPr>
        <w:ind w:right="-2"/>
        <w:rPr>
          <w:bCs/>
        </w:rPr>
      </w:pPr>
      <w:r w:rsidRPr="002B158C">
        <w:t xml:space="preserve">Atklāta konkursa nolikums uz </w:t>
      </w:r>
      <w:r>
        <w:rPr>
          <w:color w:val="000000"/>
          <w:szCs w:val="20"/>
        </w:rPr>
        <w:t>41</w:t>
      </w:r>
      <w:r w:rsidRPr="002B158C">
        <w:rPr>
          <w:color w:val="000000"/>
          <w:szCs w:val="20"/>
        </w:rPr>
        <w:t xml:space="preserve"> </w:t>
      </w:r>
      <w:proofErr w:type="spellStart"/>
      <w:r w:rsidRPr="002B158C">
        <w:t>lp</w:t>
      </w:r>
      <w:proofErr w:type="spellEnd"/>
      <w:r w:rsidRPr="002B158C">
        <w:t>.;</w:t>
      </w:r>
    </w:p>
    <w:p w:rsidR="00CF56EF" w:rsidRPr="002B158C" w:rsidRDefault="00CF56EF" w:rsidP="00CF56EF">
      <w:pPr>
        <w:pStyle w:val="BodyText"/>
        <w:widowControl/>
        <w:numPr>
          <w:ilvl w:val="0"/>
          <w:numId w:val="3"/>
        </w:numPr>
        <w:ind w:right="-2"/>
        <w:rPr>
          <w:bCs/>
        </w:rPr>
      </w:pPr>
      <w:r w:rsidRPr="002B158C">
        <w:t xml:space="preserve">Izdruka no Jēkabpils pilsētas pašvaldības mājas lapas </w:t>
      </w:r>
      <w:r>
        <w:rPr>
          <w:color w:val="000000" w:themeColor="text1"/>
        </w:rPr>
        <w:t>24.11</w:t>
      </w:r>
      <w:r w:rsidRPr="00F36AF6">
        <w:rPr>
          <w:color w:val="000000" w:themeColor="text1"/>
        </w:rPr>
        <w:t xml:space="preserve">.2017. </w:t>
      </w:r>
      <w:r w:rsidRPr="002B158C">
        <w:t>par iepirkuma procedūras uzsākšanu</w:t>
      </w:r>
      <w:r>
        <w:t xml:space="preserve">, kopā uz </w:t>
      </w:r>
      <w:r>
        <w:t>1</w:t>
      </w:r>
      <w:r w:rsidRPr="002B158C">
        <w:t xml:space="preserve"> </w:t>
      </w:r>
      <w:proofErr w:type="spellStart"/>
      <w:r w:rsidRPr="002B158C">
        <w:t>lp</w:t>
      </w:r>
      <w:proofErr w:type="spellEnd"/>
      <w:r w:rsidRPr="002B158C">
        <w:t>.;</w:t>
      </w:r>
    </w:p>
    <w:p w:rsidR="00CF56EF" w:rsidRPr="00AD519F" w:rsidRDefault="00CF56EF" w:rsidP="00CF56EF">
      <w:pPr>
        <w:pStyle w:val="BodyText"/>
        <w:widowControl/>
        <w:numPr>
          <w:ilvl w:val="0"/>
          <w:numId w:val="3"/>
        </w:numPr>
        <w:ind w:right="-2"/>
        <w:rPr>
          <w:bCs/>
        </w:rPr>
      </w:pPr>
      <w:r w:rsidRPr="00AF0E53">
        <w:rPr>
          <w:color w:val="000000"/>
          <w:szCs w:val="22"/>
        </w:rPr>
        <w:lastRenderedPageBreak/>
        <w:t xml:space="preserve">2017.gada </w:t>
      </w:r>
      <w:r>
        <w:rPr>
          <w:color w:val="000000"/>
          <w:szCs w:val="22"/>
        </w:rPr>
        <w:t>24.novembra</w:t>
      </w:r>
      <w:r w:rsidRPr="00AF0E53">
        <w:rPr>
          <w:color w:val="000000"/>
          <w:szCs w:val="22"/>
        </w:rPr>
        <w:t xml:space="preserve"> pašvaldības iepirkumu komisijas sēdes protokols</w:t>
      </w:r>
      <w:r>
        <w:rPr>
          <w:color w:val="000000"/>
          <w:szCs w:val="22"/>
        </w:rPr>
        <w:t xml:space="preserve"> Nr.231</w:t>
      </w:r>
      <w:r w:rsidRPr="00AF0E53">
        <w:rPr>
          <w:color w:val="000000"/>
          <w:szCs w:val="22"/>
        </w:rPr>
        <w:t xml:space="preserve"> par nolikuma apstiprināšanu un iepirkuma procedūras uzsākšanu uz </w:t>
      </w:r>
      <w:r>
        <w:rPr>
          <w:color w:val="000000"/>
          <w:szCs w:val="22"/>
        </w:rPr>
        <w:t>2</w:t>
      </w:r>
      <w:r w:rsidRPr="00AF0E53">
        <w:rPr>
          <w:color w:val="000000"/>
          <w:szCs w:val="22"/>
        </w:rPr>
        <w:t xml:space="preserve"> </w:t>
      </w:r>
      <w:proofErr w:type="spellStart"/>
      <w:r w:rsidRPr="00AF0E53">
        <w:rPr>
          <w:color w:val="000000"/>
          <w:szCs w:val="22"/>
        </w:rPr>
        <w:t>lp</w:t>
      </w:r>
      <w:proofErr w:type="spellEnd"/>
      <w:r w:rsidRPr="00AF0E53">
        <w:rPr>
          <w:color w:val="000000"/>
          <w:szCs w:val="22"/>
        </w:rPr>
        <w:t>. ar pielikumiem (t.sk. iepirkuma komisijas locekļu un iepirkuma procedūras dokumentu sagatavotāju apliecinājumi);</w:t>
      </w:r>
    </w:p>
    <w:p w:rsidR="00CF56EF" w:rsidRPr="00AF0E53" w:rsidRDefault="00CF56EF" w:rsidP="00CF56EF">
      <w:pPr>
        <w:pStyle w:val="BodyText"/>
        <w:widowControl/>
        <w:numPr>
          <w:ilvl w:val="0"/>
          <w:numId w:val="3"/>
        </w:numPr>
        <w:ind w:right="-2"/>
        <w:rPr>
          <w:bCs/>
        </w:rPr>
      </w:pPr>
      <w:r w:rsidRPr="00AF0E53">
        <w:t xml:space="preserve">2017.gada </w:t>
      </w:r>
      <w:r>
        <w:t>15.decembra</w:t>
      </w:r>
      <w:r w:rsidRPr="00AF0E53">
        <w:t xml:space="preserve"> pašvaldības iepirkumu komisijas piedāvājumu atvēršanas sanāksmes protokols Nr.</w:t>
      </w:r>
      <w:r>
        <w:t>244</w:t>
      </w:r>
      <w:r w:rsidRPr="00AF0E53">
        <w:t xml:space="preserve"> uz </w:t>
      </w:r>
      <w:r>
        <w:t>2</w:t>
      </w:r>
      <w:r w:rsidRPr="00AF0E53">
        <w:t xml:space="preserve"> </w:t>
      </w:r>
      <w:proofErr w:type="spellStart"/>
      <w:r w:rsidRPr="00AF0E53">
        <w:t>lp</w:t>
      </w:r>
      <w:proofErr w:type="spellEnd"/>
      <w:r w:rsidRPr="00AF0E53">
        <w:t>. ar pielikumiem</w:t>
      </w:r>
      <w:r w:rsidRPr="00AF0E53">
        <w:rPr>
          <w:color w:val="000000"/>
          <w:szCs w:val="22"/>
        </w:rPr>
        <w:t xml:space="preserve"> (</w:t>
      </w:r>
      <w:r>
        <w:rPr>
          <w:color w:val="000000"/>
          <w:szCs w:val="22"/>
        </w:rPr>
        <w:t xml:space="preserve">t.sk. </w:t>
      </w:r>
      <w:r w:rsidRPr="00AF0E53">
        <w:rPr>
          <w:color w:val="000000"/>
          <w:szCs w:val="22"/>
        </w:rPr>
        <w:t>iepirkuma</w:t>
      </w:r>
      <w:r>
        <w:rPr>
          <w:color w:val="000000"/>
          <w:szCs w:val="22"/>
        </w:rPr>
        <w:t xml:space="preserve"> komisijas locekļu apliecinājumi, iesniegto piedāvājumu saraksts</w:t>
      </w:r>
      <w:r>
        <w:rPr>
          <w:color w:val="000000"/>
          <w:szCs w:val="22"/>
        </w:rPr>
        <w:t xml:space="preserve"> un</w:t>
      </w:r>
      <w:r w:rsidRPr="00AF0E53">
        <w:rPr>
          <w:color w:val="000000"/>
          <w:szCs w:val="22"/>
        </w:rPr>
        <w:t xml:space="preserve"> piedāvājumi)</w:t>
      </w:r>
      <w:r w:rsidRPr="00AF0E53">
        <w:t>;</w:t>
      </w:r>
    </w:p>
    <w:p w:rsidR="00CF56EF" w:rsidRPr="00AF0E53" w:rsidRDefault="00CF56EF" w:rsidP="00CF56EF">
      <w:pPr>
        <w:pStyle w:val="BodyText"/>
        <w:widowControl/>
        <w:numPr>
          <w:ilvl w:val="0"/>
          <w:numId w:val="3"/>
        </w:numPr>
        <w:ind w:right="-2"/>
        <w:rPr>
          <w:bCs/>
        </w:rPr>
      </w:pPr>
      <w:r w:rsidRPr="00AF0E53">
        <w:t xml:space="preserve">2017.gada </w:t>
      </w:r>
      <w:r>
        <w:t>15.decembra</w:t>
      </w:r>
      <w:r w:rsidRPr="00AF0E53">
        <w:t xml:space="preserve"> pašvaldības iepirkumu komisijas piedāvājumu </w:t>
      </w:r>
      <w:r>
        <w:t>vērtēšanas sēdes protokols Nr.</w:t>
      </w:r>
      <w:r>
        <w:t>245</w:t>
      </w:r>
      <w:r w:rsidRPr="00AF0E53">
        <w:t xml:space="preserve"> uz </w:t>
      </w:r>
      <w:r>
        <w:t>4</w:t>
      </w:r>
      <w:r w:rsidRPr="00AF0E53">
        <w:t xml:space="preserve"> </w:t>
      </w:r>
      <w:proofErr w:type="spellStart"/>
      <w:r w:rsidRPr="00AF0E53">
        <w:t>lp</w:t>
      </w:r>
      <w:proofErr w:type="spellEnd"/>
      <w:r w:rsidRPr="00AF0E53">
        <w:t>. ar pielikumiem</w:t>
      </w:r>
      <w:r>
        <w:t xml:space="preserve"> (</w:t>
      </w:r>
      <w:r w:rsidRPr="00AF0E53">
        <w:rPr>
          <w:color w:val="000000"/>
          <w:szCs w:val="22"/>
        </w:rPr>
        <w:t xml:space="preserve">t.sk. iepirkuma </w:t>
      </w:r>
      <w:r>
        <w:rPr>
          <w:color w:val="000000"/>
          <w:szCs w:val="22"/>
        </w:rPr>
        <w:t>procedūras sagatavotāju</w:t>
      </w:r>
      <w:r w:rsidRPr="00AF0E53">
        <w:rPr>
          <w:color w:val="000000"/>
          <w:szCs w:val="22"/>
        </w:rPr>
        <w:t xml:space="preserve"> apliecinājumi</w:t>
      </w:r>
      <w:r>
        <w:rPr>
          <w:color w:val="000000"/>
          <w:szCs w:val="22"/>
        </w:rPr>
        <w:t>)</w:t>
      </w:r>
      <w:r>
        <w:t>.</w:t>
      </w:r>
    </w:p>
    <w:p w:rsidR="00CF56EF" w:rsidRPr="00FC2067" w:rsidRDefault="00CF56EF" w:rsidP="00CF56EF">
      <w:pPr>
        <w:ind w:right="-2" w:firstLine="720"/>
        <w:jc w:val="both"/>
        <w:rPr>
          <w:color w:val="000000" w:themeColor="text1"/>
          <w:lang w:val="lv-LV"/>
        </w:rPr>
      </w:pPr>
      <w:r>
        <w:rPr>
          <w:color w:val="000000"/>
          <w:lang w:val="lv-LV"/>
        </w:rPr>
        <w:t>7</w:t>
      </w:r>
      <w:r>
        <w:rPr>
          <w:color w:val="000000"/>
          <w:lang w:val="lv-LV"/>
        </w:rPr>
        <w:t xml:space="preserve">. </w:t>
      </w:r>
      <w:r>
        <w:rPr>
          <w:color w:val="000000"/>
          <w:lang w:val="lv-LV"/>
        </w:rPr>
        <w:t xml:space="preserve">  </w:t>
      </w:r>
      <w:r>
        <w:rPr>
          <w:color w:val="000000"/>
          <w:lang w:val="lv-LV"/>
        </w:rPr>
        <w:t xml:space="preserve">VAS “Latvijas autoceļu uzturētājs” Jēkabpils ceļu rajona piedāvājums uz </w:t>
      </w:r>
      <w:r>
        <w:rPr>
          <w:color w:val="000000" w:themeColor="text1"/>
          <w:lang w:val="lv-LV"/>
        </w:rPr>
        <w:t xml:space="preserve">44 </w:t>
      </w:r>
      <w:proofErr w:type="spellStart"/>
      <w:r w:rsidRPr="00FC2067">
        <w:rPr>
          <w:color w:val="000000" w:themeColor="text1"/>
          <w:lang w:val="lv-LV"/>
        </w:rPr>
        <w:t>lp</w:t>
      </w:r>
      <w:proofErr w:type="spellEnd"/>
      <w:r w:rsidRPr="00FC2067">
        <w:rPr>
          <w:color w:val="000000" w:themeColor="text1"/>
          <w:lang w:val="lv-LV"/>
        </w:rPr>
        <w:t>.</w:t>
      </w:r>
    </w:p>
    <w:p w:rsidR="00CF56EF" w:rsidRPr="008A0BAF" w:rsidRDefault="00CF56EF" w:rsidP="00CF56EF">
      <w:pPr>
        <w:ind w:right="-2"/>
        <w:jc w:val="both"/>
        <w:rPr>
          <w:color w:val="000000"/>
          <w:szCs w:val="22"/>
          <w:lang w:val="lv-LV"/>
        </w:rPr>
      </w:pPr>
    </w:p>
    <w:p w:rsidR="00CF56EF" w:rsidRDefault="00CF56EF" w:rsidP="00CF56EF">
      <w:pPr>
        <w:ind w:right="-2"/>
        <w:jc w:val="both"/>
        <w:rPr>
          <w:lang w:val="lv-LV"/>
        </w:rPr>
      </w:pPr>
    </w:p>
    <w:p w:rsidR="00CF56EF" w:rsidRDefault="00CF56EF" w:rsidP="00CF56EF">
      <w:pPr>
        <w:ind w:right="-2"/>
        <w:jc w:val="both"/>
        <w:rPr>
          <w:lang w:val="lv-LV"/>
        </w:rPr>
      </w:pPr>
      <w:r>
        <w:rPr>
          <w:lang w:val="lv-LV"/>
        </w:rPr>
        <w:t>Komisijas priekšsēdētāja</w:t>
      </w:r>
      <w:r>
        <w:rPr>
          <w:lang w:val="lv-LV"/>
        </w:rPr>
        <w:t>s</w:t>
      </w:r>
      <w:r>
        <w:rPr>
          <w:lang w:val="lv-LV"/>
        </w:rPr>
        <w:t xml:space="preserve"> vietnieks</w:t>
      </w:r>
      <w:r>
        <w:rPr>
          <w:lang w:val="lv-LV"/>
        </w:rPr>
        <w:tab/>
        <w:t xml:space="preserve">            </w:t>
      </w:r>
      <w:r>
        <w:rPr>
          <w:lang w:val="lv-LV"/>
        </w:rPr>
        <w:tab/>
      </w:r>
      <w:r>
        <w:rPr>
          <w:lang w:val="lv-LV"/>
        </w:rPr>
        <w:tab/>
      </w:r>
      <w:r>
        <w:rPr>
          <w:lang w:val="lv-LV"/>
        </w:rPr>
        <w:tab/>
      </w:r>
      <w:r>
        <w:rPr>
          <w:lang w:val="lv-LV"/>
        </w:rPr>
        <w:tab/>
      </w:r>
      <w:proofErr w:type="spellStart"/>
      <w:r>
        <w:rPr>
          <w:lang w:val="lv-LV"/>
        </w:rPr>
        <w:t>A.Kozlovskis</w:t>
      </w:r>
      <w:proofErr w:type="spellEnd"/>
      <w:r>
        <w:rPr>
          <w:lang w:val="lv-LV"/>
        </w:rPr>
        <w:tab/>
      </w:r>
      <w:r>
        <w:rPr>
          <w:lang w:val="lv-LV"/>
        </w:rPr>
        <w:tab/>
      </w:r>
    </w:p>
    <w:p w:rsidR="00CF56EF" w:rsidRDefault="00CF56EF" w:rsidP="00CF56EF">
      <w:pPr>
        <w:ind w:right="-2"/>
        <w:jc w:val="both"/>
      </w:pPr>
      <w:r>
        <w:rPr>
          <w:lang w:val="lv-LV"/>
        </w:rPr>
        <w:t>Komisijas sekretāre</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proofErr w:type="spellStart"/>
      <w:r>
        <w:rPr>
          <w:lang w:val="lv-LV"/>
        </w:rPr>
        <w:t>M.Stankevica</w:t>
      </w:r>
      <w:proofErr w:type="spellEnd"/>
    </w:p>
    <w:p w:rsidR="00CF56EF" w:rsidRDefault="00CF56EF" w:rsidP="00CF56EF">
      <w:pPr>
        <w:ind w:right="-2"/>
      </w:pPr>
    </w:p>
    <w:p w:rsidR="00CF56EF" w:rsidRPr="002B158C" w:rsidRDefault="00CF56EF" w:rsidP="00CF56EF">
      <w:pPr>
        <w:ind w:right="-2"/>
        <w:jc w:val="both"/>
        <w:rPr>
          <w:lang w:val="lv-LV"/>
        </w:rPr>
      </w:pPr>
    </w:p>
    <w:p w:rsidR="00E42E25" w:rsidRDefault="00E42E25" w:rsidP="00E42E25">
      <w:pPr>
        <w:ind w:right="-2"/>
      </w:pPr>
    </w:p>
    <w:p w:rsidR="00E42E25" w:rsidRDefault="00E42E25" w:rsidP="00E42E25">
      <w:pPr>
        <w:ind w:right="-2"/>
      </w:pPr>
    </w:p>
    <w:p w:rsidR="00E42E25" w:rsidRDefault="00E42E25" w:rsidP="00E42E25"/>
    <w:p w:rsidR="00E42E25" w:rsidRDefault="00E42E25" w:rsidP="00E42E25"/>
    <w:p w:rsidR="003441ED" w:rsidRDefault="003441ED"/>
    <w:sectPr w:rsidR="003441ED" w:rsidSect="000604EE">
      <w:footerReference w:type="default" r:id="rId7"/>
      <w:pgSz w:w="11906" w:h="16838"/>
      <w:pgMar w:top="1134" w:right="851"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1458"/>
      <w:docPartObj>
        <w:docPartGallery w:val="Page Numbers (Bottom of Page)"/>
        <w:docPartUnique/>
      </w:docPartObj>
    </w:sdtPr>
    <w:sdtEndPr>
      <w:rPr>
        <w:noProof/>
      </w:rPr>
    </w:sdtEndPr>
    <w:sdtContent>
      <w:p w:rsidR="00505236" w:rsidRDefault="00B174A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505236" w:rsidRDefault="00B174A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3240" w:hanging="360"/>
      </w:pPr>
      <w:rPr>
        <w:rFonts w:ascii="Times New Roman" w:eastAsia="Times New Roman" w:hAnsi="Times New Roman" w:cs="Times New Roman" w:hint="default"/>
      </w:rPr>
    </w:lvl>
    <w:lvl w:ilvl="1" w:tplc="04260003" w:tentative="1">
      <w:start w:val="1"/>
      <w:numFmt w:val="bullet"/>
      <w:lvlText w:val="o"/>
      <w:lvlJc w:val="left"/>
      <w:pPr>
        <w:ind w:left="3960" w:hanging="360"/>
      </w:pPr>
      <w:rPr>
        <w:rFonts w:ascii="Courier New" w:hAnsi="Courier New" w:cs="Courier New" w:hint="default"/>
      </w:rPr>
    </w:lvl>
    <w:lvl w:ilvl="2" w:tplc="04260005" w:tentative="1">
      <w:start w:val="1"/>
      <w:numFmt w:val="bullet"/>
      <w:lvlText w:val=""/>
      <w:lvlJc w:val="left"/>
      <w:pPr>
        <w:ind w:left="4680" w:hanging="360"/>
      </w:pPr>
      <w:rPr>
        <w:rFonts w:ascii="Wingdings" w:hAnsi="Wingdings" w:hint="default"/>
      </w:rPr>
    </w:lvl>
    <w:lvl w:ilvl="3" w:tplc="04260001" w:tentative="1">
      <w:start w:val="1"/>
      <w:numFmt w:val="bullet"/>
      <w:lvlText w:val=""/>
      <w:lvlJc w:val="left"/>
      <w:pPr>
        <w:ind w:left="5400" w:hanging="360"/>
      </w:pPr>
      <w:rPr>
        <w:rFonts w:ascii="Symbol" w:hAnsi="Symbol" w:hint="default"/>
      </w:rPr>
    </w:lvl>
    <w:lvl w:ilvl="4" w:tplc="04260003" w:tentative="1">
      <w:start w:val="1"/>
      <w:numFmt w:val="bullet"/>
      <w:lvlText w:val="o"/>
      <w:lvlJc w:val="left"/>
      <w:pPr>
        <w:ind w:left="6120" w:hanging="360"/>
      </w:pPr>
      <w:rPr>
        <w:rFonts w:ascii="Courier New" w:hAnsi="Courier New" w:cs="Courier New" w:hint="default"/>
      </w:rPr>
    </w:lvl>
    <w:lvl w:ilvl="5" w:tplc="04260005" w:tentative="1">
      <w:start w:val="1"/>
      <w:numFmt w:val="bullet"/>
      <w:lvlText w:val=""/>
      <w:lvlJc w:val="left"/>
      <w:pPr>
        <w:ind w:left="6840" w:hanging="360"/>
      </w:pPr>
      <w:rPr>
        <w:rFonts w:ascii="Wingdings" w:hAnsi="Wingdings" w:hint="default"/>
      </w:rPr>
    </w:lvl>
    <w:lvl w:ilvl="6" w:tplc="04260001" w:tentative="1">
      <w:start w:val="1"/>
      <w:numFmt w:val="bullet"/>
      <w:lvlText w:val=""/>
      <w:lvlJc w:val="left"/>
      <w:pPr>
        <w:ind w:left="7560" w:hanging="360"/>
      </w:pPr>
      <w:rPr>
        <w:rFonts w:ascii="Symbol" w:hAnsi="Symbol" w:hint="default"/>
      </w:rPr>
    </w:lvl>
    <w:lvl w:ilvl="7" w:tplc="04260003" w:tentative="1">
      <w:start w:val="1"/>
      <w:numFmt w:val="bullet"/>
      <w:lvlText w:val="o"/>
      <w:lvlJc w:val="left"/>
      <w:pPr>
        <w:ind w:left="8280" w:hanging="360"/>
      </w:pPr>
      <w:rPr>
        <w:rFonts w:ascii="Courier New" w:hAnsi="Courier New" w:cs="Courier New" w:hint="default"/>
      </w:rPr>
    </w:lvl>
    <w:lvl w:ilvl="8" w:tplc="04260005" w:tentative="1">
      <w:start w:val="1"/>
      <w:numFmt w:val="bullet"/>
      <w:lvlText w:val=""/>
      <w:lvlJc w:val="left"/>
      <w:pPr>
        <w:ind w:left="9000" w:hanging="360"/>
      </w:pPr>
      <w:rPr>
        <w:rFonts w:ascii="Wingdings" w:hAnsi="Wingdings" w:hint="default"/>
      </w:rPr>
    </w:lvl>
  </w:abstractNum>
  <w:abstractNum w:abstractNumId="1"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3C427A8"/>
    <w:multiLevelType w:val="multilevel"/>
    <w:tmpl w:val="7574672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25"/>
    <w:rsid w:val="000604EE"/>
    <w:rsid w:val="00304AD9"/>
    <w:rsid w:val="003441ED"/>
    <w:rsid w:val="0064401F"/>
    <w:rsid w:val="00B174A7"/>
    <w:rsid w:val="00B340BD"/>
    <w:rsid w:val="00CF56EF"/>
    <w:rsid w:val="00E4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5F195-9BE4-483E-9B83-364E9BFC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E25"/>
    <w:rPr>
      <w:rFonts w:eastAsia="Times New Roman" w:cs="Times New Roman"/>
      <w:szCs w:val="24"/>
      <w:lang w:val="en-GB"/>
    </w:rPr>
  </w:style>
  <w:style w:type="paragraph" w:styleId="Heading1">
    <w:name w:val="heading 1"/>
    <w:basedOn w:val="Normal"/>
    <w:next w:val="Normal"/>
    <w:link w:val="Heading1Char"/>
    <w:qFormat/>
    <w:rsid w:val="00E42E25"/>
    <w:pPr>
      <w:keepNext/>
      <w:outlineLvl w:val="0"/>
    </w:pPr>
    <w:rPr>
      <w:b/>
      <w:lang w:val="lv-LV"/>
    </w:rPr>
  </w:style>
  <w:style w:type="paragraph" w:styleId="Heading2">
    <w:name w:val="heading 2"/>
    <w:basedOn w:val="Normal"/>
    <w:next w:val="Normal"/>
    <w:link w:val="Heading2Char"/>
    <w:qFormat/>
    <w:rsid w:val="00E42E25"/>
    <w:pPr>
      <w:keepNext/>
      <w:ind w:right="-1054"/>
      <w:outlineLvl w:val="1"/>
    </w:pPr>
    <w:rPr>
      <w:b/>
      <w:bCs/>
      <w:lang w:val="lv-LV"/>
    </w:rPr>
  </w:style>
  <w:style w:type="paragraph" w:styleId="Heading4">
    <w:name w:val="heading 4"/>
    <w:basedOn w:val="Normal"/>
    <w:next w:val="Normal"/>
    <w:link w:val="Heading4Char"/>
    <w:qFormat/>
    <w:rsid w:val="00E42E25"/>
    <w:pPr>
      <w:keepNext/>
      <w:jc w:val="center"/>
      <w:outlineLvl w:val="3"/>
    </w:pPr>
    <w:rPr>
      <w:b/>
      <w:lang w:val="lv-LV"/>
    </w:rPr>
  </w:style>
  <w:style w:type="paragraph" w:styleId="Heading7">
    <w:name w:val="heading 7"/>
    <w:basedOn w:val="Normal"/>
    <w:next w:val="Normal"/>
    <w:link w:val="Heading7Char"/>
    <w:uiPriority w:val="9"/>
    <w:unhideWhenUsed/>
    <w:qFormat/>
    <w:rsid w:val="00E42E2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E25"/>
    <w:rPr>
      <w:rFonts w:eastAsia="Times New Roman" w:cs="Times New Roman"/>
      <w:b/>
      <w:szCs w:val="24"/>
    </w:rPr>
  </w:style>
  <w:style w:type="character" w:customStyle="1" w:styleId="Heading2Char">
    <w:name w:val="Heading 2 Char"/>
    <w:basedOn w:val="DefaultParagraphFont"/>
    <w:link w:val="Heading2"/>
    <w:rsid w:val="00E42E25"/>
    <w:rPr>
      <w:rFonts w:eastAsia="Times New Roman" w:cs="Times New Roman"/>
      <w:b/>
      <w:bCs/>
      <w:szCs w:val="24"/>
    </w:rPr>
  </w:style>
  <w:style w:type="character" w:customStyle="1" w:styleId="Heading4Char">
    <w:name w:val="Heading 4 Char"/>
    <w:basedOn w:val="DefaultParagraphFont"/>
    <w:link w:val="Heading4"/>
    <w:rsid w:val="00E42E25"/>
    <w:rPr>
      <w:rFonts w:eastAsia="Times New Roman" w:cs="Times New Roman"/>
      <w:b/>
      <w:szCs w:val="24"/>
    </w:rPr>
  </w:style>
  <w:style w:type="character" w:customStyle="1" w:styleId="Heading7Char">
    <w:name w:val="Heading 7 Char"/>
    <w:basedOn w:val="DefaultParagraphFont"/>
    <w:link w:val="Heading7"/>
    <w:uiPriority w:val="9"/>
    <w:rsid w:val="00E42E25"/>
    <w:rPr>
      <w:rFonts w:asciiTheme="majorHAnsi" w:eastAsiaTheme="majorEastAsia" w:hAnsiTheme="majorHAnsi" w:cstheme="majorBidi"/>
      <w:i/>
      <w:iCs/>
      <w:color w:val="1F4D78" w:themeColor="accent1" w:themeShade="7F"/>
      <w:szCs w:val="24"/>
      <w:lang w:val="en-GB"/>
    </w:rPr>
  </w:style>
  <w:style w:type="paragraph" w:styleId="BodyText">
    <w:name w:val="Body Text"/>
    <w:aliases w:val="Body Text1"/>
    <w:basedOn w:val="Normal"/>
    <w:link w:val="BodyTextChar"/>
    <w:semiHidden/>
    <w:rsid w:val="00E42E25"/>
    <w:pPr>
      <w:widowControl w:val="0"/>
      <w:jc w:val="both"/>
    </w:pPr>
    <w:rPr>
      <w:lang w:val="lv-LV"/>
    </w:rPr>
  </w:style>
  <w:style w:type="character" w:customStyle="1" w:styleId="BodyTextChar">
    <w:name w:val="Body Text Char"/>
    <w:aliases w:val="Body Text1 Char"/>
    <w:basedOn w:val="DefaultParagraphFont"/>
    <w:link w:val="BodyText"/>
    <w:semiHidden/>
    <w:rsid w:val="00E42E25"/>
    <w:rPr>
      <w:rFonts w:eastAsia="Times New Roman" w:cs="Times New Roman"/>
      <w:szCs w:val="24"/>
    </w:rPr>
  </w:style>
  <w:style w:type="character" w:styleId="Hyperlink">
    <w:name w:val="Hyperlink"/>
    <w:basedOn w:val="DefaultParagraphFont"/>
    <w:semiHidden/>
    <w:rsid w:val="00E42E25"/>
    <w:rPr>
      <w:strike w:val="0"/>
      <w:dstrike w:val="0"/>
      <w:color w:val="000000"/>
      <w:u w:val="none"/>
      <w:effect w:val="none"/>
    </w:rPr>
  </w:style>
  <w:style w:type="paragraph" w:styleId="BodyText2">
    <w:name w:val="Body Text 2"/>
    <w:basedOn w:val="Normal"/>
    <w:link w:val="BodyText2Char"/>
    <w:semiHidden/>
    <w:rsid w:val="00E42E25"/>
    <w:pPr>
      <w:jc w:val="both"/>
    </w:pPr>
    <w:rPr>
      <w:color w:val="000000"/>
      <w:szCs w:val="22"/>
      <w:lang w:val="lv-LV"/>
    </w:rPr>
  </w:style>
  <w:style w:type="character" w:customStyle="1" w:styleId="BodyText2Char">
    <w:name w:val="Body Text 2 Char"/>
    <w:basedOn w:val="DefaultParagraphFont"/>
    <w:link w:val="BodyText2"/>
    <w:semiHidden/>
    <w:rsid w:val="00E42E25"/>
    <w:rPr>
      <w:rFonts w:eastAsia="Times New Roman" w:cs="Times New Roman"/>
      <w:color w:val="000000"/>
    </w:rPr>
  </w:style>
  <w:style w:type="paragraph" w:styleId="BodyTextIndent3">
    <w:name w:val="Body Text Indent 3"/>
    <w:basedOn w:val="Normal"/>
    <w:link w:val="BodyTextIndent3Char"/>
    <w:semiHidden/>
    <w:rsid w:val="00E42E25"/>
    <w:pPr>
      <w:ind w:right="180" w:firstLine="525"/>
      <w:jc w:val="both"/>
    </w:pPr>
    <w:rPr>
      <w:color w:val="000000"/>
      <w:lang w:val="lv-LV"/>
    </w:rPr>
  </w:style>
  <w:style w:type="character" w:customStyle="1" w:styleId="BodyTextIndent3Char">
    <w:name w:val="Body Text Indent 3 Char"/>
    <w:basedOn w:val="DefaultParagraphFont"/>
    <w:link w:val="BodyTextIndent3"/>
    <w:semiHidden/>
    <w:rsid w:val="00E42E25"/>
    <w:rPr>
      <w:rFonts w:eastAsia="Times New Roman" w:cs="Times New Roman"/>
      <w:color w:val="000000"/>
      <w:szCs w:val="24"/>
    </w:rPr>
  </w:style>
  <w:style w:type="paragraph" w:styleId="Footer">
    <w:name w:val="footer"/>
    <w:basedOn w:val="Normal"/>
    <w:link w:val="FooterChar"/>
    <w:uiPriority w:val="99"/>
    <w:unhideWhenUsed/>
    <w:rsid w:val="00E42E25"/>
    <w:pPr>
      <w:tabs>
        <w:tab w:val="center" w:pos="4153"/>
        <w:tab w:val="right" w:pos="8306"/>
      </w:tabs>
    </w:pPr>
  </w:style>
  <w:style w:type="character" w:customStyle="1" w:styleId="FooterChar">
    <w:name w:val="Footer Char"/>
    <w:basedOn w:val="DefaultParagraphFont"/>
    <w:link w:val="Footer"/>
    <w:uiPriority w:val="99"/>
    <w:rsid w:val="00E42E25"/>
    <w:rPr>
      <w:rFonts w:eastAsia="Times New Roman" w:cs="Times New Roman"/>
      <w:szCs w:val="24"/>
      <w:lang w:val="en-GB"/>
    </w:rPr>
  </w:style>
  <w:style w:type="paragraph" w:styleId="ListParagraph">
    <w:name w:val="List Paragraph"/>
    <w:basedOn w:val="Normal"/>
    <w:uiPriority w:val="34"/>
    <w:qFormat/>
    <w:rsid w:val="00E42E25"/>
    <w:pPr>
      <w:ind w:left="720"/>
      <w:contextualSpacing/>
    </w:pPr>
  </w:style>
  <w:style w:type="paragraph" w:styleId="BodyTextIndent">
    <w:name w:val="Body Text Indent"/>
    <w:basedOn w:val="Normal"/>
    <w:link w:val="BodyTextIndentChar"/>
    <w:uiPriority w:val="99"/>
    <w:semiHidden/>
    <w:unhideWhenUsed/>
    <w:rsid w:val="00304AD9"/>
    <w:pPr>
      <w:spacing w:after="120"/>
      <w:ind w:left="283"/>
    </w:pPr>
  </w:style>
  <w:style w:type="character" w:customStyle="1" w:styleId="BodyTextIndentChar">
    <w:name w:val="Body Text Indent Char"/>
    <w:basedOn w:val="DefaultParagraphFont"/>
    <w:link w:val="BodyTextIndent"/>
    <w:uiPriority w:val="99"/>
    <w:semiHidden/>
    <w:rsid w:val="00304AD9"/>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b.gov.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4489</Words>
  <Characters>2560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2017-12-15T11:41:00Z</dcterms:created>
  <dcterms:modified xsi:type="dcterms:W3CDTF">2017-12-15T12:14:00Z</dcterms:modified>
</cp:coreProperties>
</file>