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7AE26C0F" w14:textId="7B1866FB" w:rsidR="00112CC2" w:rsidRPr="002A184B" w:rsidRDefault="001D13F5" w:rsidP="00112CC2">
      <w:pPr>
        <w:widowControl w:val="0"/>
        <w:suppressAutoHyphens/>
        <w:jc w:val="right"/>
        <w:rPr>
          <w:rFonts w:eastAsia="Lucida Sans Unicode"/>
          <w:color w:val="0070C0"/>
        </w:rPr>
      </w:pPr>
      <w:r>
        <w:rPr>
          <w:rFonts w:cs="Tahoma"/>
          <w:bCs/>
          <w:noProof/>
        </w:rPr>
        <w:t>11</w:t>
      </w:r>
      <w:r w:rsidR="009B4BB3" w:rsidRPr="00BA366C">
        <w:rPr>
          <w:rFonts w:cs="Tahoma"/>
          <w:bCs/>
          <w:noProof/>
        </w:rPr>
        <w:t>.0</w:t>
      </w:r>
      <w:r>
        <w:rPr>
          <w:rFonts w:cs="Tahoma"/>
          <w:bCs/>
          <w:noProof/>
        </w:rPr>
        <w:t>2</w:t>
      </w:r>
      <w:r w:rsidR="009B4BB3" w:rsidRPr="00BA366C">
        <w:rPr>
          <w:rFonts w:cs="Tahoma"/>
          <w:bCs/>
          <w:noProof/>
        </w:rPr>
        <w:t>.202</w:t>
      </w:r>
      <w:r w:rsidR="00CA28E7">
        <w:rPr>
          <w:rFonts w:cs="Tahoma"/>
          <w:bCs/>
          <w:noProof/>
        </w:rPr>
        <w:t>5</w:t>
      </w:r>
      <w:r w:rsidR="009B4BB3" w:rsidRPr="00BA366C">
        <w:rPr>
          <w:rFonts w:eastAsia="Lucida Sans Unicode"/>
        </w:rPr>
        <w:t xml:space="preserve">. lēmumu </w:t>
      </w:r>
      <w:r w:rsidR="0045449A">
        <w:rPr>
          <w:rFonts w:eastAsia="Lucida Sans Unicode"/>
        </w:rPr>
        <w:t xml:space="preserve">Nr. </w:t>
      </w:r>
      <w:r w:rsidRPr="001D13F5">
        <w:rPr>
          <w:rFonts w:eastAsia="Lucida Sans Unicode"/>
        </w:rPr>
        <w:t>1-40/25/40</w:t>
      </w:r>
    </w:p>
    <w:p w14:paraId="5B587DD3" w14:textId="77777777" w:rsidR="00112CC2" w:rsidRPr="00A3455D" w:rsidRDefault="00112CC2" w:rsidP="00112CC2">
      <w:pPr>
        <w:suppressAutoHyphens/>
        <w:jc w:val="right"/>
        <w:rPr>
          <w:rFonts w:cs="Tahoma"/>
          <w:b/>
          <w:bCs/>
          <w:szCs w:val="22"/>
          <w:lang w:eastAsia="zh-CN"/>
        </w:rPr>
      </w:pPr>
    </w:p>
    <w:p w14:paraId="6CDFE396" w14:textId="5FD96D4C"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667C5E" w:rsidRPr="00667C5E">
        <w:rPr>
          <w:b/>
          <w:lang w:eastAsia="zh-CN"/>
        </w:rPr>
        <w:t xml:space="preserve">Ozolaine”, Atašienes </w:t>
      </w:r>
      <w:r>
        <w:rPr>
          <w:b/>
          <w:lang w:eastAsia="zh-CN"/>
        </w:rPr>
        <w:t xml:space="preserve">pagasts, </w:t>
      </w:r>
      <w:r w:rsidRPr="00A3455D">
        <w:rPr>
          <w:b/>
          <w:lang w:eastAsia="zh-CN"/>
        </w:rPr>
        <w:t xml:space="preserve">Jēkabpils novads,  </w:t>
      </w:r>
    </w:p>
    <w:p w14:paraId="642AECD3" w14:textId="05FBDF8B"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667C5E" w:rsidRPr="00667C5E">
        <w:rPr>
          <w:rFonts w:eastAsia="Lucida Sans Unicode"/>
          <w:b/>
          <w:bCs/>
        </w:rPr>
        <w:t>5646 009 0007</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3FCF55BC"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667C5E" w:rsidRPr="00667C5E">
        <w:rPr>
          <w:b/>
          <w:bCs/>
          <w:lang w:eastAsia="zh-CN"/>
        </w:rPr>
        <w:t xml:space="preserve">Ozolaine”, Atašienes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CA28E7">
        <w:rPr>
          <w:rFonts w:cs="Tahoma"/>
          <w:bCs/>
          <w:szCs w:val="22"/>
        </w:rPr>
        <w:t>30</w:t>
      </w:r>
      <w:r w:rsidR="00BB3260" w:rsidRPr="00377947">
        <w:rPr>
          <w:rFonts w:cs="Tahoma"/>
          <w:bCs/>
          <w:szCs w:val="22"/>
        </w:rPr>
        <w:t>.0</w:t>
      </w:r>
      <w:r w:rsidR="00CA28E7">
        <w:rPr>
          <w:rFonts w:cs="Tahoma"/>
          <w:bCs/>
          <w:szCs w:val="22"/>
        </w:rPr>
        <w:t>1</w:t>
      </w:r>
      <w:r w:rsidR="00BB3260" w:rsidRPr="00377947">
        <w:rPr>
          <w:rFonts w:cs="Tahoma"/>
          <w:bCs/>
          <w:szCs w:val="22"/>
        </w:rPr>
        <w:t>.202</w:t>
      </w:r>
      <w:r w:rsidR="00CA28E7">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CA28E7">
        <w:rPr>
          <w:lang w:eastAsia="lv-LV"/>
        </w:rPr>
        <w:t>24</w:t>
      </w:r>
      <w:r w:rsidR="00BB3260" w:rsidRPr="00377947">
        <w:rPr>
          <w:lang w:eastAsia="lv-LV"/>
        </w:rPr>
        <w:t xml:space="preserve"> </w:t>
      </w:r>
      <w:r w:rsidR="00667C5E">
        <w:rPr>
          <w:lang w:eastAsia="lv-LV"/>
        </w:rPr>
        <w:t>3</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2D30E0CD"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667C5E">
        <w:rPr>
          <w:b/>
          <w:bCs/>
          <w:lang w:eastAsia="zh-CN"/>
        </w:rPr>
        <w:t>3</w:t>
      </w:r>
      <w:r w:rsidR="00CA28E7">
        <w:rPr>
          <w:b/>
          <w:bCs/>
          <w:lang w:eastAsia="zh-CN"/>
        </w:rPr>
        <w:t>000</w:t>
      </w:r>
      <w:r w:rsidRPr="00010D16">
        <w:rPr>
          <w:b/>
          <w:bCs/>
          <w:lang w:eastAsia="zh-CN"/>
        </w:rPr>
        <w:t xml:space="preserve">,00 </w:t>
      </w:r>
      <w:r w:rsidRPr="00010D16">
        <w:rPr>
          <w:b/>
          <w:bCs/>
          <w:i/>
          <w:iCs/>
          <w:lang w:eastAsia="zh-CN"/>
        </w:rPr>
        <w:t>euro</w:t>
      </w:r>
      <w:r w:rsidRPr="00010D16">
        <w:rPr>
          <w:lang w:eastAsia="zh-CN"/>
        </w:rPr>
        <w:t xml:space="preserve"> (</w:t>
      </w:r>
      <w:r w:rsidR="00667C5E">
        <w:rPr>
          <w:rFonts w:cs="Tahoma"/>
          <w:bCs/>
        </w:rPr>
        <w:t>trīs</w:t>
      </w:r>
      <w:r w:rsidR="00CA28E7" w:rsidRPr="00577B22">
        <w:rPr>
          <w:rFonts w:cs="Tahoma"/>
          <w:bCs/>
        </w:rPr>
        <w:t xml:space="preserve"> tūkstoši </w:t>
      </w:r>
      <w:r w:rsidR="00CA28E7" w:rsidRPr="00577B22">
        <w:rPr>
          <w:rFonts w:eastAsia="Lucida Sans Unicode"/>
          <w:noProof/>
        </w:rPr>
        <w:t>eiro un 00 centi</w:t>
      </w:r>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6FE3ED6C"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bookmarkStart w:id="0" w:name="_Hlk189745653"/>
      <w:r w:rsidR="00667C5E" w:rsidRPr="00577B22">
        <w:t>5646 009 0007</w:t>
      </w:r>
      <w:bookmarkEnd w:id="0"/>
      <w:r w:rsidRPr="00A31313">
        <w:rPr>
          <w:rFonts w:eastAsia="Lucida Sans Unicode"/>
          <w:color w:val="000000" w:themeColor="text1"/>
        </w:rPr>
        <w:t xml:space="preserve">, </w:t>
      </w:r>
      <w:r>
        <w:rPr>
          <w:rFonts w:eastAsia="Lucida Sans Unicode"/>
          <w:color w:val="000000" w:themeColor="text1"/>
          <w:lang w:eastAsia="lv-LV"/>
        </w:rPr>
        <w:t>“</w:t>
      </w:r>
      <w:r w:rsidR="00667C5E" w:rsidRPr="00667C5E">
        <w:rPr>
          <w:bCs/>
        </w:rPr>
        <w:t xml:space="preserve">Ozolaine”, Atašienes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667C5E" w:rsidRPr="00FF10A8">
        <w:t>5646 009 0095</w:t>
      </w:r>
      <w:r w:rsidR="00667C5E">
        <w:t xml:space="preserve"> </w:t>
      </w:r>
      <w:r>
        <w:rPr>
          <w:color w:val="000000" w:themeColor="text1"/>
          <w:lang w:eastAsia="lv-LV"/>
        </w:rPr>
        <w:t xml:space="preserve">– </w:t>
      </w:r>
      <w:r w:rsidR="00667C5E">
        <w:rPr>
          <w:color w:val="000000" w:themeColor="text1"/>
          <w:lang w:eastAsia="lv-LV"/>
        </w:rPr>
        <w:t>1</w:t>
      </w:r>
      <w:r>
        <w:rPr>
          <w:color w:val="000000" w:themeColor="text1"/>
          <w:lang w:eastAsia="lv-LV"/>
        </w:rPr>
        <w:t>,</w:t>
      </w:r>
      <w:r w:rsidR="00667C5E">
        <w:rPr>
          <w:color w:val="000000" w:themeColor="text1"/>
          <w:lang w:eastAsia="lv-LV"/>
        </w:rPr>
        <w:t>2</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7E686943"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667C5E" w:rsidRPr="00667C5E">
        <w:rPr>
          <w:bCs/>
        </w:rPr>
        <w:t xml:space="preserve">Atašienes </w:t>
      </w:r>
      <w:r w:rsidRPr="00D04314">
        <w:rPr>
          <w:rFonts w:eastAsia="Lucida Sans Unicode"/>
          <w:color w:val="000000" w:themeColor="text1"/>
        </w:rPr>
        <w:t>pagasta zemesgrāmatā, nodalījuma Nr.</w:t>
      </w:r>
      <w:r w:rsidR="00667C5E" w:rsidRPr="00667C5E">
        <w:t xml:space="preserve"> </w:t>
      </w:r>
      <w:r w:rsidR="00667C5E" w:rsidRPr="006E33E0">
        <w:t>100000610173</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229AB3A0"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CA28E7">
        <w:t>lauksaimniecības</w:t>
      </w:r>
      <w:r>
        <w:t xml:space="preserve">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1"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2" w:name="_Hlk147733387"/>
      <w:bookmarkEnd w:id="1"/>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2"/>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5857E03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7745D4">
        <w:rPr>
          <w:b/>
          <w:lang w:eastAsia="zh-CN"/>
        </w:rPr>
        <w:t xml:space="preserve">līdz </w:t>
      </w:r>
      <w:bookmarkStart w:id="3" w:name="_Hlk155092719"/>
      <w:r w:rsidR="007745D4" w:rsidRPr="007745D4">
        <w:rPr>
          <w:b/>
          <w:lang w:eastAsia="zh-CN"/>
        </w:rPr>
        <w:t>15</w:t>
      </w:r>
      <w:r w:rsidRPr="007745D4">
        <w:rPr>
          <w:b/>
          <w:lang w:eastAsia="zh-CN"/>
        </w:rPr>
        <w:t>.</w:t>
      </w:r>
      <w:r w:rsidR="007745D4" w:rsidRPr="007745D4">
        <w:rPr>
          <w:b/>
          <w:lang w:eastAsia="zh-CN"/>
        </w:rPr>
        <w:t>04</w:t>
      </w:r>
      <w:r w:rsidRPr="007745D4">
        <w:rPr>
          <w:b/>
          <w:lang w:eastAsia="zh-CN"/>
        </w:rPr>
        <w:t>.202</w:t>
      </w:r>
      <w:bookmarkEnd w:id="3"/>
      <w:r w:rsidR="007745D4" w:rsidRPr="007745D4">
        <w:rPr>
          <w:b/>
          <w:lang w:eastAsia="zh-CN"/>
        </w:rPr>
        <w:t>5</w:t>
      </w:r>
      <w:r w:rsidRPr="007745D4">
        <w:rPr>
          <w:b/>
          <w:lang w:eastAsia="zh-CN"/>
        </w:rPr>
        <w:t>.</w:t>
      </w:r>
      <w:r w:rsidRPr="007745D4">
        <w:rPr>
          <w:bCs/>
          <w:lang w:eastAsia="zh-CN"/>
        </w:rPr>
        <w:t xml:space="preserve"> ir iemaksājusi</w:t>
      </w:r>
      <w:r w:rsidRPr="00A3455D">
        <w:rPr>
          <w:bCs/>
          <w:lang w:eastAsia="zh-CN"/>
        </w:rPr>
        <w:t xml:space="preserve">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2D506161"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w:t>
      </w:r>
      <w:r w:rsidRPr="007745D4">
        <w:rPr>
          <w:rFonts w:eastAsia="Lucida Sans Unicode"/>
          <w:lang w:eastAsia="zh-CN" w:bidi="he-IL"/>
        </w:rPr>
        <w:t xml:space="preserve">piedalīties izsolē, </w:t>
      </w:r>
      <w:r w:rsidRPr="007745D4">
        <w:rPr>
          <w:rFonts w:eastAsia="Lucida Sans Unicode"/>
          <w:b/>
          <w:bCs/>
          <w:lang w:eastAsia="zh-CN" w:bidi="he-IL"/>
        </w:rPr>
        <w:t xml:space="preserve">līdz </w:t>
      </w:r>
      <w:r w:rsidR="007745D4" w:rsidRPr="007745D4">
        <w:rPr>
          <w:b/>
          <w:lang w:eastAsia="zh-CN"/>
        </w:rPr>
        <w:t>15.04.2025</w:t>
      </w:r>
      <w:r w:rsidRPr="007745D4">
        <w:rPr>
          <w:rFonts w:eastAsia="Lucida Sans Unicode"/>
          <w:b/>
          <w:bCs/>
          <w:lang w:eastAsia="zh-CN" w:bidi="he-IL"/>
        </w:rPr>
        <w:t>.</w:t>
      </w:r>
      <w:r w:rsidRPr="00E06B8E">
        <w:rPr>
          <w:rFonts w:eastAsia="Lucida Sans Unicode"/>
          <w:b/>
          <w:bCs/>
          <w:lang w:eastAsia="zh-CN" w:bidi="he-IL"/>
        </w:rPr>
        <w:t xml:space="preserve">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667C5E">
        <w:rPr>
          <w:rFonts w:eastAsia="Lucida Sans Unicode"/>
          <w:b/>
          <w:bCs/>
          <w:lang w:eastAsia="zh-CN" w:bidi="he-IL"/>
        </w:rPr>
        <w:t>3</w:t>
      </w:r>
      <w:r w:rsidR="00CA28E7">
        <w:rPr>
          <w:rFonts w:eastAsia="Lucida Sans Unicode"/>
          <w:b/>
          <w:bCs/>
          <w:lang w:eastAsia="zh-CN" w:bidi="he-IL"/>
        </w:rPr>
        <w:t>00</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667C5E">
        <w:rPr>
          <w:rFonts w:eastAsia="Lucida Sans Unicode"/>
          <w:lang w:eastAsia="zh-CN" w:bidi="he-IL"/>
        </w:rPr>
        <w:t>trīs</w:t>
      </w:r>
      <w:r w:rsidR="00E84FCC">
        <w:rPr>
          <w:rFonts w:eastAsia="Lucida Sans Unicode"/>
          <w:lang w:eastAsia="zh-CN" w:bidi="he-IL"/>
        </w:rPr>
        <w:t xml:space="preserve"> </w:t>
      </w:r>
      <w:r w:rsidR="00425E2B">
        <w:rPr>
          <w:rFonts w:eastAsia="Lucida Sans Unicode"/>
          <w:lang w:eastAsia="zh-CN" w:bidi="he-IL"/>
        </w:rPr>
        <w:t xml:space="preserve">simti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667C5E" w:rsidRPr="00667C5E">
        <w:rPr>
          <w:rFonts w:eastAsia="Lucida Sans Unicode"/>
          <w:b/>
          <w:bCs/>
          <w:lang w:eastAsia="zh-CN" w:bidi="he-IL"/>
        </w:rPr>
        <w:t xml:space="preserve">Ozolaine”, Atašienes </w:t>
      </w:r>
      <w:r>
        <w:rPr>
          <w:rFonts w:eastAsia="Lucida Sans Unicode"/>
          <w:b/>
          <w:bCs/>
          <w:lang w:eastAsia="zh-CN" w:bidi="he-IL"/>
        </w:rPr>
        <w:t xml:space="preserve">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A3455D">
        <w:rPr>
          <w:lang w:eastAsia="zh-CN"/>
        </w:rPr>
        <w:t>Ja izsoles pretendents nav iemaksājis kādu no 5.1. un 5.2. punktos minētajiem maksājumiem noteiktajā termiņā, izsoles pretendents pie izsoles netiek reģistrēts dalībai izsolē.</w:t>
      </w:r>
    </w:p>
    <w:bookmarkEnd w:id="4"/>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6CFA0206"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7745D4" w:rsidRPr="007745D4">
        <w:rPr>
          <w:b/>
          <w:lang w:eastAsia="zh-CN"/>
        </w:rPr>
        <w:t>26.03.2025</w:t>
      </w:r>
      <w:r w:rsidRPr="007745D4">
        <w:rPr>
          <w:b/>
          <w:lang w:eastAsia="zh-CN"/>
        </w:rPr>
        <w:t>.</w:t>
      </w:r>
      <w:r w:rsidRPr="007745D4">
        <w:rPr>
          <w:b/>
          <w:bCs/>
        </w:rPr>
        <w:t xml:space="preserve"> plkst. 13:00 līdz </w:t>
      </w:r>
      <w:r w:rsidR="007745D4" w:rsidRPr="007745D4">
        <w:rPr>
          <w:b/>
          <w:lang w:eastAsia="zh-CN"/>
        </w:rPr>
        <w:t>15.04.2025</w:t>
      </w:r>
      <w:r w:rsidRPr="007745D4">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5" w:name="_Hlk147733566"/>
      <w:r w:rsidRPr="00A3455D">
        <w:t>, atbilstoši 5.1.punktam</w:t>
      </w:r>
      <w:bookmarkEnd w:id="5"/>
      <w:r w:rsidRPr="00A3455D">
        <w:t>,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6" w:name="_Hlk147733595"/>
      <w:r w:rsidRPr="00A3455D">
        <w:t>konstatēts, ka izsoles pretendentam pastāv izsoles noteikumu 4.2.punktā noteiktie ierobežojumi;</w:t>
      </w:r>
    </w:p>
    <w:bookmarkEnd w:id="6"/>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55D99CDC" w:rsidR="00112CC2" w:rsidRPr="007745D4" w:rsidRDefault="009B4BB3" w:rsidP="00112CC2">
      <w:pPr>
        <w:pStyle w:val="Sarakstarindkopa"/>
        <w:numPr>
          <w:ilvl w:val="1"/>
          <w:numId w:val="13"/>
        </w:numPr>
        <w:ind w:left="567" w:hanging="567"/>
        <w:contextualSpacing w:val="0"/>
        <w:jc w:val="both"/>
        <w:rPr>
          <w:b/>
          <w:bCs/>
        </w:rPr>
      </w:pPr>
      <w:r w:rsidRPr="007745D4">
        <w:rPr>
          <w:b/>
          <w:bCs/>
        </w:rPr>
        <w:t>Izsole sākas</w:t>
      </w:r>
      <w:r w:rsidRPr="007745D4">
        <w:t xml:space="preserve"> EI vietnē https://izsoles.ta.gov.lv </w:t>
      </w:r>
      <w:r w:rsidR="007745D4" w:rsidRPr="007745D4">
        <w:rPr>
          <w:b/>
          <w:lang w:eastAsia="zh-CN"/>
        </w:rPr>
        <w:t>26.03.2025</w:t>
      </w:r>
      <w:r w:rsidRPr="007745D4">
        <w:rPr>
          <w:b/>
          <w:bCs/>
        </w:rPr>
        <w:t xml:space="preserve">. plkst. 13:00 un noslēdzas </w:t>
      </w:r>
      <w:r w:rsidR="007745D4" w:rsidRPr="007745D4">
        <w:rPr>
          <w:b/>
          <w:lang w:eastAsia="zh-CN"/>
        </w:rPr>
        <w:t>25</w:t>
      </w:r>
      <w:r w:rsidR="00E84FCC" w:rsidRPr="007745D4">
        <w:rPr>
          <w:b/>
          <w:lang w:eastAsia="zh-CN"/>
        </w:rPr>
        <w:t>.</w:t>
      </w:r>
      <w:r w:rsidR="007745D4" w:rsidRPr="007745D4">
        <w:rPr>
          <w:b/>
          <w:lang w:eastAsia="zh-CN"/>
        </w:rPr>
        <w:t>04</w:t>
      </w:r>
      <w:r w:rsidR="00E84FCC" w:rsidRPr="007745D4">
        <w:rPr>
          <w:b/>
          <w:lang w:eastAsia="zh-CN"/>
        </w:rPr>
        <w:t>.202</w:t>
      </w:r>
      <w:r w:rsidR="007745D4" w:rsidRPr="007745D4">
        <w:rPr>
          <w:b/>
          <w:lang w:eastAsia="zh-CN"/>
        </w:rPr>
        <w:t>5</w:t>
      </w:r>
      <w:r w:rsidRPr="007745D4">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7" w:name="_Hlk147733655"/>
      <w:r w:rsidRPr="00A3455D">
        <w:t xml:space="preserve">Pēc izsoles slēgšanas, EI vietne automātiski 24 stundu laikā sagatavo izsoles aktu par izsoles rezultātiem. </w:t>
      </w:r>
    </w:p>
    <w:bookmarkEnd w:id="7"/>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3E669895"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E20B8C">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1F75F7FA" w14:textId="77777777" w:rsidR="00112CC2" w:rsidRPr="00A3455D" w:rsidRDefault="00112CC2" w:rsidP="00112CC2">
      <w:pPr>
        <w:rPr>
          <w:b/>
          <w:lang w:eastAsia="zh-CN"/>
        </w:rPr>
      </w:pPr>
    </w:p>
    <w:p w14:paraId="0BB70059" w14:textId="77777777" w:rsidR="00112CC2" w:rsidRPr="00A3455D" w:rsidRDefault="00112CC2" w:rsidP="00112CC2">
      <w:pPr>
        <w:pStyle w:val="naisf"/>
        <w:spacing w:before="0" w:after="0"/>
        <w:ind w:right="43" w:firstLine="0"/>
        <w:rPr>
          <w:bCs/>
        </w:rPr>
      </w:pPr>
    </w:p>
    <w:p w14:paraId="0695179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6A025123" w14:textId="77777777" w:rsidR="007E46AF" w:rsidRDefault="007E46AF" w:rsidP="007E46AF">
      <w:pPr>
        <w:tabs>
          <w:tab w:val="right" w:pos="9356"/>
        </w:tabs>
        <w:suppressAutoHyphens/>
        <w:rPr>
          <w:lang w:eastAsia="ar-SA"/>
        </w:rPr>
      </w:pPr>
      <w:r>
        <w:t>Jēkabpils novada Attīstības pārvaldes vadītāja</w:t>
      </w:r>
      <w:r>
        <w:rPr>
          <w:lang w:eastAsia="ar-SA"/>
        </w:rPr>
        <w:tab/>
        <w:t>B.Voltmane</w:t>
      </w:r>
    </w:p>
    <w:p w14:paraId="75EF9DFA" w14:textId="77777777" w:rsidR="007E46AF" w:rsidRDefault="007E46AF" w:rsidP="007E46AF">
      <w:pPr>
        <w:tabs>
          <w:tab w:val="right" w:pos="9356"/>
        </w:tabs>
        <w:suppressAutoHyphens/>
        <w:rPr>
          <w:lang w:eastAsia="ar-SA"/>
        </w:rPr>
      </w:pPr>
    </w:p>
    <w:p w14:paraId="048C801A" w14:textId="77777777" w:rsidR="007E46AF" w:rsidRDefault="007E46AF" w:rsidP="007E46AF">
      <w:pPr>
        <w:tabs>
          <w:tab w:val="right" w:pos="9356"/>
        </w:tabs>
        <w:suppressAutoHyphens/>
        <w:rPr>
          <w:lang w:eastAsia="ar-SA"/>
        </w:rPr>
      </w:pPr>
    </w:p>
    <w:p w14:paraId="1D1B17BA" w14:textId="77777777" w:rsidR="007E46AF" w:rsidRDefault="007E46AF" w:rsidP="007E46AF">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3369E97A" w14:textId="77777777" w:rsidR="007E46AF" w:rsidRDefault="007E46AF" w:rsidP="007E46AF"/>
    <w:p w14:paraId="20B70414"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8242F4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0F36C9F5"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43EE6597"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BBC246E"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3D29FA37" w14:textId="2527712D" w:rsidR="00112CC2" w:rsidRPr="00A3455D" w:rsidRDefault="00112CC2" w:rsidP="005322F3">
      <w:pPr>
        <w:rPr>
          <w:bCs/>
          <w:lang w:eastAsia="lv-LV"/>
        </w:rPr>
      </w:pPr>
    </w:p>
    <w:p w14:paraId="0E70E46E" w14:textId="77777777" w:rsidR="00112CC2" w:rsidRPr="00A3455D" w:rsidRDefault="00112CC2" w:rsidP="00112CC2">
      <w:pPr>
        <w:pStyle w:val="naisf"/>
        <w:spacing w:before="0" w:after="0"/>
        <w:ind w:right="43" w:firstLine="0"/>
        <w:rPr>
          <w:bCs/>
        </w:rPr>
      </w:pPr>
    </w:p>
    <w:p w14:paraId="1BF7F846" w14:textId="77777777" w:rsidR="00112CC2" w:rsidRPr="00A3455D" w:rsidRDefault="00112CC2" w:rsidP="00112CC2">
      <w:pPr>
        <w:rPr>
          <w:sz w:val="20"/>
          <w:szCs w:val="20"/>
        </w:rPr>
      </w:pPr>
    </w:p>
    <w:p w14:paraId="3E808880" w14:textId="77777777" w:rsidR="008D4EBC" w:rsidRPr="00D734A9" w:rsidRDefault="008D4EBC" w:rsidP="00112CC2">
      <w:pPr>
        <w:tabs>
          <w:tab w:val="right" w:pos="9356"/>
        </w:tabs>
        <w:snapToGrid w:val="0"/>
        <w:jc w:val="both"/>
        <w:rPr>
          <w:sz w:val="20"/>
          <w:szCs w:val="20"/>
        </w:rPr>
      </w:pPr>
    </w:p>
    <w:sectPr w:rsidR="008D4EBC"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A2DE" w14:textId="77777777" w:rsidR="00C37FA5" w:rsidRDefault="00C37FA5">
      <w:r>
        <w:separator/>
      </w:r>
    </w:p>
  </w:endnote>
  <w:endnote w:type="continuationSeparator" w:id="0">
    <w:p w14:paraId="724C7EB0" w14:textId="77777777" w:rsidR="00C37FA5" w:rsidRDefault="00C3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21AC" w14:textId="77777777" w:rsidR="00C37FA5" w:rsidRDefault="00C37FA5">
      <w:r>
        <w:separator/>
      </w:r>
    </w:p>
  </w:footnote>
  <w:footnote w:type="continuationSeparator" w:id="0">
    <w:p w14:paraId="1FC7CA32" w14:textId="77777777" w:rsidR="00C37FA5" w:rsidRDefault="00C3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4952"/>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13F5"/>
    <w:rsid w:val="001D4A06"/>
    <w:rsid w:val="001E5F5B"/>
    <w:rsid w:val="001F0328"/>
    <w:rsid w:val="001F0F8B"/>
    <w:rsid w:val="001F2B43"/>
    <w:rsid w:val="001F4F0D"/>
    <w:rsid w:val="002003C7"/>
    <w:rsid w:val="002039AE"/>
    <w:rsid w:val="00204A5A"/>
    <w:rsid w:val="00204F92"/>
    <w:rsid w:val="00205FEE"/>
    <w:rsid w:val="002124BA"/>
    <w:rsid w:val="002129C4"/>
    <w:rsid w:val="00214CD7"/>
    <w:rsid w:val="00223803"/>
    <w:rsid w:val="00225EB2"/>
    <w:rsid w:val="00243D95"/>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E0799"/>
    <w:rsid w:val="003E5A3D"/>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22F3"/>
    <w:rsid w:val="0053343A"/>
    <w:rsid w:val="005345F5"/>
    <w:rsid w:val="005370CF"/>
    <w:rsid w:val="00537A0C"/>
    <w:rsid w:val="005437E6"/>
    <w:rsid w:val="00544242"/>
    <w:rsid w:val="00547C8D"/>
    <w:rsid w:val="00554BA6"/>
    <w:rsid w:val="00563E69"/>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E2910"/>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67C5E"/>
    <w:rsid w:val="006810BC"/>
    <w:rsid w:val="00682A4C"/>
    <w:rsid w:val="0068460C"/>
    <w:rsid w:val="00695CDE"/>
    <w:rsid w:val="006A1227"/>
    <w:rsid w:val="006A6A04"/>
    <w:rsid w:val="006A762F"/>
    <w:rsid w:val="006A773C"/>
    <w:rsid w:val="006C0F22"/>
    <w:rsid w:val="006D4008"/>
    <w:rsid w:val="006E7A8B"/>
    <w:rsid w:val="006E7EB3"/>
    <w:rsid w:val="006F035C"/>
    <w:rsid w:val="006F1C2F"/>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57B22"/>
    <w:rsid w:val="00762AC0"/>
    <w:rsid w:val="0076516E"/>
    <w:rsid w:val="0076697B"/>
    <w:rsid w:val="007745D4"/>
    <w:rsid w:val="00777981"/>
    <w:rsid w:val="0078439C"/>
    <w:rsid w:val="0078512A"/>
    <w:rsid w:val="00786F5B"/>
    <w:rsid w:val="0078798F"/>
    <w:rsid w:val="0079185D"/>
    <w:rsid w:val="00794A31"/>
    <w:rsid w:val="007968B7"/>
    <w:rsid w:val="007A03DE"/>
    <w:rsid w:val="007A0443"/>
    <w:rsid w:val="007A2072"/>
    <w:rsid w:val="007A7394"/>
    <w:rsid w:val="007B0F3C"/>
    <w:rsid w:val="007D661F"/>
    <w:rsid w:val="007D7103"/>
    <w:rsid w:val="007E44BC"/>
    <w:rsid w:val="007E46AF"/>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976A9"/>
    <w:rsid w:val="00AA308F"/>
    <w:rsid w:val="00AA41B5"/>
    <w:rsid w:val="00AA52A4"/>
    <w:rsid w:val="00AC0C28"/>
    <w:rsid w:val="00AC5867"/>
    <w:rsid w:val="00AC73FE"/>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7A46"/>
    <w:rsid w:val="00B80306"/>
    <w:rsid w:val="00B80416"/>
    <w:rsid w:val="00B80E6C"/>
    <w:rsid w:val="00B84913"/>
    <w:rsid w:val="00B94582"/>
    <w:rsid w:val="00B94FE8"/>
    <w:rsid w:val="00B9592B"/>
    <w:rsid w:val="00B9764F"/>
    <w:rsid w:val="00BA068C"/>
    <w:rsid w:val="00BA1FDA"/>
    <w:rsid w:val="00BA366C"/>
    <w:rsid w:val="00BA5FB0"/>
    <w:rsid w:val="00BA7563"/>
    <w:rsid w:val="00BB1BF9"/>
    <w:rsid w:val="00BB3260"/>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37FA5"/>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28E7"/>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555F"/>
    <w:rsid w:val="00DF4A2C"/>
    <w:rsid w:val="00E067ED"/>
    <w:rsid w:val="00E06B8E"/>
    <w:rsid w:val="00E13183"/>
    <w:rsid w:val="00E13275"/>
    <w:rsid w:val="00E13656"/>
    <w:rsid w:val="00E20AD9"/>
    <w:rsid w:val="00E20B8C"/>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C5658"/>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035134">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11423</Words>
  <Characters>6512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6</cp:revision>
  <dcterms:created xsi:type="dcterms:W3CDTF">2025-02-06T12:51:00Z</dcterms:created>
  <dcterms:modified xsi:type="dcterms:W3CDTF">2025-02-12T10:55:00Z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