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073" w:rsidRPr="00FC5C17" w:rsidRDefault="00834073" w:rsidP="00834073">
      <w:pPr>
        <w:tabs>
          <w:tab w:val="left" w:pos="8280"/>
        </w:tabs>
        <w:ind w:right="-1054"/>
        <w:jc w:val="center"/>
        <w:rPr>
          <w:lang w:val="lv-LV"/>
        </w:rPr>
      </w:pPr>
      <w:r w:rsidRPr="00FC5C17">
        <w:rPr>
          <w:noProof/>
          <w:sz w:val="20"/>
          <w:szCs w:val="20"/>
          <w:lang w:val="lv-LV" w:eastAsia="lv-LV"/>
        </w:rPr>
        <w:drawing>
          <wp:inline distT="0" distB="0" distL="0" distR="0" wp14:anchorId="07DBDF4C" wp14:editId="19121B49">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834073" w:rsidRPr="00FC5C17" w:rsidRDefault="00834073" w:rsidP="00834073">
      <w:pPr>
        <w:keepNext/>
        <w:widowControl w:val="0"/>
        <w:tabs>
          <w:tab w:val="left" w:pos="360"/>
        </w:tabs>
        <w:suppressAutoHyphens/>
        <w:ind w:right="-1054"/>
        <w:jc w:val="center"/>
        <w:outlineLvl w:val="6"/>
        <w:rPr>
          <w:rFonts w:eastAsia="Lucida Sans Unicode" w:cs="Tahoma"/>
          <w:lang w:val="lv-LV"/>
        </w:rPr>
      </w:pPr>
      <w:r w:rsidRPr="00FC5C17">
        <w:rPr>
          <w:rFonts w:eastAsia="Lucida Sans Unicode" w:cs="Tahoma"/>
          <w:lang w:val="lv-LV"/>
        </w:rPr>
        <w:t>JĒKABPILS PILSĒTAS PAŠVALDĪBA</w:t>
      </w:r>
    </w:p>
    <w:p w:rsidR="00834073" w:rsidRPr="00FC5C17" w:rsidRDefault="00834073" w:rsidP="00834073">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834073" w:rsidRPr="00FC5C17" w:rsidRDefault="00834073" w:rsidP="00834073">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834073" w:rsidRPr="00FC5C17" w:rsidRDefault="00834073" w:rsidP="00834073">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834073" w:rsidRPr="00FC5C17" w:rsidRDefault="00834073" w:rsidP="00834073">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834073" w:rsidRPr="00FC5C17" w:rsidRDefault="00834073" w:rsidP="00834073">
      <w:pPr>
        <w:widowControl w:val="0"/>
        <w:suppressAutoHyphens/>
        <w:ind w:right="-1054"/>
        <w:jc w:val="center"/>
        <w:rPr>
          <w:rFonts w:eastAsia="Lucida Sans Unicode"/>
          <w:lang w:val="lv-LV"/>
        </w:rPr>
      </w:pPr>
      <w:r w:rsidRPr="00FC5C17">
        <w:rPr>
          <w:rFonts w:eastAsia="Lucida Sans Unicode"/>
          <w:lang w:val="lv-LV"/>
        </w:rPr>
        <w:t>Jēkabpi</w:t>
      </w:r>
      <w:r w:rsidRPr="002F13A9">
        <w:rPr>
          <w:rFonts w:eastAsia="Lucida Sans Unicode"/>
          <w:b/>
          <w:lang w:val="lv-LV"/>
        </w:rPr>
        <w:t>l</w:t>
      </w:r>
      <w:r w:rsidRPr="00FC5C17">
        <w:rPr>
          <w:rFonts w:eastAsia="Lucida Sans Unicode"/>
          <w:lang w:val="lv-LV"/>
        </w:rPr>
        <w:t>ī</w:t>
      </w:r>
    </w:p>
    <w:p w:rsidR="00834073" w:rsidRPr="00FC5C17" w:rsidRDefault="00834073" w:rsidP="00834073">
      <w:pPr>
        <w:tabs>
          <w:tab w:val="left" w:pos="9360"/>
        </w:tabs>
        <w:jc w:val="both"/>
        <w:rPr>
          <w:lang w:val="lv-LV"/>
        </w:rPr>
      </w:pPr>
    </w:p>
    <w:p w:rsidR="00834073" w:rsidRPr="00FC5C17" w:rsidRDefault="004A740B" w:rsidP="00834073">
      <w:pPr>
        <w:tabs>
          <w:tab w:val="left" w:pos="8280"/>
        </w:tabs>
        <w:jc w:val="both"/>
        <w:rPr>
          <w:color w:val="FF0000"/>
          <w:u w:val="single"/>
          <w:lang w:val="lv-LV"/>
        </w:rPr>
      </w:pPr>
      <w:r>
        <w:rPr>
          <w:color w:val="000000"/>
          <w:u w:val="single"/>
          <w:lang w:val="lv-LV"/>
        </w:rPr>
        <w:t>29</w:t>
      </w:r>
      <w:r w:rsidR="00834073">
        <w:rPr>
          <w:color w:val="000000"/>
          <w:u w:val="single"/>
          <w:lang w:val="lv-LV"/>
        </w:rPr>
        <w:t>.04</w:t>
      </w:r>
      <w:r w:rsidR="00834073" w:rsidRPr="00FC5C17">
        <w:rPr>
          <w:color w:val="000000"/>
          <w:u w:val="single"/>
          <w:lang w:val="lv-LV"/>
        </w:rPr>
        <w:t>.2016.</w:t>
      </w:r>
      <w:r w:rsidR="00834073" w:rsidRPr="00FC5C17">
        <w:rPr>
          <w:color w:val="000000"/>
          <w:lang w:val="lv-LV"/>
        </w:rPr>
        <w:t xml:space="preserve"> Nr.</w:t>
      </w:r>
      <w:r w:rsidR="00834073" w:rsidRPr="00FC5C17">
        <w:rPr>
          <w:b/>
          <w:bCs/>
          <w:lang w:val="lv-LV"/>
        </w:rPr>
        <w:t xml:space="preserve"> </w:t>
      </w:r>
      <w:r w:rsidR="00834073" w:rsidRPr="00FC5C17">
        <w:rPr>
          <w:bCs/>
          <w:u w:val="single"/>
          <w:lang w:val="lv-LV"/>
        </w:rPr>
        <w:t>1.2.13.1/</w:t>
      </w:r>
      <w:r>
        <w:rPr>
          <w:bCs/>
          <w:u w:val="single"/>
          <w:lang w:val="lv-LV"/>
        </w:rPr>
        <w:t>116</w:t>
      </w:r>
    </w:p>
    <w:p w:rsidR="00834073" w:rsidRPr="00FC5C17" w:rsidRDefault="00834073" w:rsidP="00834073">
      <w:pPr>
        <w:pStyle w:val="xl23"/>
        <w:widowControl/>
        <w:suppressAutoHyphens w:val="0"/>
        <w:spacing w:before="0" w:after="0"/>
        <w:rPr>
          <w:rFonts w:ascii="Times New Roman" w:eastAsia="Times New Roman" w:hAnsi="Times New Roman" w:cs="Times New Roman"/>
          <w:szCs w:val="24"/>
          <w:lang w:val="lv-LV"/>
        </w:rPr>
      </w:pPr>
    </w:p>
    <w:p w:rsidR="00834073" w:rsidRPr="00FC5C17" w:rsidRDefault="00834073" w:rsidP="00834073">
      <w:pPr>
        <w:ind w:right="-1050"/>
        <w:jc w:val="right"/>
        <w:rPr>
          <w:lang w:val="lv-LV"/>
        </w:rPr>
      </w:pPr>
      <w:r>
        <w:rPr>
          <w:lang w:val="lv-LV"/>
        </w:rPr>
        <w:t>Visiem piegādātājiem</w:t>
      </w:r>
      <w:r w:rsidRPr="00FC5C17">
        <w:rPr>
          <w:lang w:val="lv-LV"/>
        </w:rPr>
        <w:t xml:space="preserve"> </w:t>
      </w:r>
    </w:p>
    <w:p w:rsidR="00834073" w:rsidRPr="00FC5C17" w:rsidRDefault="00834073" w:rsidP="00834073">
      <w:pPr>
        <w:pStyle w:val="Heading4"/>
        <w:tabs>
          <w:tab w:val="left" w:pos="8280"/>
        </w:tabs>
        <w:ind w:right="-1234"/>
      </w:pPr>
    </w:p>
    <w:p w:rsidR="00834073" w:rsidRPr="00FC5C17" w:rsidRDefault="00834073" w:rsidP="00834073">
      <w:pPr>
        <w:tabs>
          <w:tab w:val="left" w:pos="9360"/>
        </w:tabs>
        <w:jc w:val="both"/>
        <w:rPr>
          <w:bCs/>
          <w:lang w:val="lv-LV"/>
        </w:rPr>
      </w:pPr>
      <w:r w:rsidRPr="00FC5C17">
        <w:rPr>
          <w:bCs/>
          <w:lang w:val="lv-LV"/>
        </w:rPr>
        <w:t>Par publisko iepirkumu</w:t>
      </w:r>
    </w:p>
    <w:p w:rsidR="00834073" w:rsidRPr="00FC5C17" w:rsidRDefault="00834073" w:rsidP="00834073">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Pr>
          <w:bCs/>
          <w:lang w:val="lv-LV"/>
        </w:rPr>
        <w:t>22</w:t>
      </w:r>
    </w:p>
    <w:p w:rsidR="00834073" w:rsidRPr="00FC5C17" w:rsidRDefault="00834073" w:rsidP="00834073">
      <w:pPr>
        <w:tabs>
          <w:tab w:val="left" w:pos="9360"/>
        </w:tabs>
        <w:ind w:right="-1054"/>
        <w:jc w:val="both"/>
        <w:rPr>
          <w:b/>
          <w:bCs/>
          <w:lang w:val="lv-LV"/>
        </w:rPr>
      </w:pPr>
    </w:p>
    <w:p w:rsidR="00834073" w:rsidRPr="00FC5C17" w:rsidRDefault="00834073" w:rsidP="00834073">
      <w:pPr>
        <w:tabs>
          <w:tab w:val="left" w:pos="9360"/>
        </w:tabs>
        <w:ind w:right="-1054"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jautājumu</w:t>
      </w:r>
      <w:r w:rsidR="004A740B">
        <w:rPr>
          <w:lang w:val="lv-LV"/>
        </w:rPr>
        <w:t>s</w:t>
      </w:r>
      <w:r w:rsidRPr="00FC5C17">
        <w:rPr>
          <w:lang w:val="lv-LV"/>
        </w:rPr>
        <w:t xml:space="preserve">, kas attiecas uz publisko iepirkumu </w:t>
      </w:r>
      <w:r w:rsidRPr="00FC5C17">
        <w:rPr>
          <w:i/>
          <w:color w:val="000000"/>
          <w:lang w:val="lv-LV"/>
        </w:rPr>
        <w:t>“</w:t>
      </w:r>
      <w:r>
        <w:rPr>
          <w:i/>
          <w:color w:val="000000"/>
          <w:lang w:val="lv-LV"/>
        </w:rPr>
        <w:t>Dūmu, Atmodas un Kadiķu ielas pārbūve Jēkabpilī</w:t>
      </w:r>
      <w:r>
        <w:rPr>
          <w:lang w:val="lv-LV"/>
        </w:rPr>
        <w:t>”, identifikācijas Nr. JPP 2016/22</w:t>
      </w:r>
      <w:r w:rsidRPr="00FC5C17">
        <w:rPr>
          <w:lang w:val="lv-LV"/>
        </w:rPr>
        <w:t>, izskatījusi to</w:t>
      </w:r>
      <w:r w:rsidR="004A740B">
        <w:rPr>
          <w:lang w:val="lv-LV"/>
        </w:rPr>
        <w:t>s</w:t>
      </w:r>
      <w:r>
        <w:rPr>
          <w:lang w:val="lv-LV"/>
        </w:rPr>
        <w:t xml:space="preserve"> un sniedz atbildi</w:t>
      </w:r>
      <w:r w:rsidRPr="00FC5C17">
        <w:rPr>
          <w:lang w:val="lv-LV"/>
        </w:rPr>
        <w:t>:</w:t>
      </w:r>
    </w:p>
    <w:p w:rsidR="00834073" w:rsidRPr="00FC5C17" w:rsidRDefault="00834073" w:rsidP="00834073">
      <w:pPr>
        <w:tabs>
          <w:tab w:val="left" w:pos="9360"/>
        </w:tabs>
        <w:ind w:right="-1054"/>
        <w:jc w:val="both"/>
        <w:rPr>
          <w:lang w:val="lv-LV"/>
        </w:rPr>
      </w:pPr>
    </w:p>
    <w:p w:rsidR="005E66E2" w:rsidRPr="00EC22D1" w:rsidRDefault="005E66E2" w:rsidP="005E66E2">
      <w:pPr>
        <w:ind w:right="-908"/>
        <w:jc w:val="both"/>
        <w:rPr>
          <w:lang w:val="lv-LV"/>
        </w:rPr>
      </w:pPr>
      <w:proofErr w:type="gramStart"/>
      <w:r w:rsidRPr="005E66E2">
        <w:rPr>
          <w:b/>
          <w:i/>
          <w:u w:val="single"/>
        </w:rPr>
        <w:t>1.Jautājums</w:t>
      </w:r>
      <w:proofErr w:type="gramEnd"/>
      <w:r w:rsidRPr="005E66E2">
        <w:rPr>
          <w:b/>
          <w:i/>
          <w:u w:val="single"/>
        </w:rPr>
        <w:t>:</w:t>
      </w:r>
      <w:r>
        <w:t xml:space="preserve"> </w:t>
      </w:r>
      <w:r w:rsidRPr="00EC22D1">
        <w:rPr>
          <w:lang w:val="lv-LV"/>
        </w:rPr>
        <w:t xml:space="preserve">Tāmē Nr. 1(Atmodas iela) pozīcijā Nr.2.33, tāmē Nr.2(Dūmu iela) pozīcijā Nr.2.37; tāmē Nr.3(Kadiķu iela) pozīcijā Nr.2.38 norādītajam „Lietus attīrīšanas iekārtas 30 l/s uzstādīšanai grodu akās DN2000 ( starpsienas, attīrīšanas filtri un </w:t>
      </w:r>
      <w:proofErr w:type="spellStart"/>
      <w:r w:rsidRPr="00EC22D1">
        <w:rPr>
          <w:lang w:val="lv-LV"/>
        </w:rPr>
        <w:t>absorberi</w:t>
      </w:r>
      <w:proofErr w:type="spellEnd"/>
      <w:r w:rsidRPr="00EC22D1">
        <w:rPr>
          <w:lang w:val="lv-LV"/>
        </w:rPr>
        <w:t>) ENA 30B vai analogs” projektā nav skaidri norādīta informācija par to: kādi filtri ir nepieciešami, paredzētais starpsienu materiāls, kādas ir dzelzsbetona grodu sienu aizsargpārklājuma prasības.</w:t>
      </w:r>
    </w:p>
    <w:p w:rsidR="005E66E2" w:rsidRPr="00EC22D1" w:rsidRDefault="005E66E2" w:rsidP="005E66E2">
      <w:pPr>
        <w:pStyle w:val="ListParagraph"/>
        <w:ind w:left="0" w:right="-908"/>
        <w:jc w:val="both"/>
        <w:rPr>
          <w:rFonts w:ascii="Times New Roman" w:hAnsi="Times New Roman" w:cs="Times New Roman"/>
          <w:b/>
          <w:i/>
          <w:sz w:val="24"/>
          <w:szCs w:val="24"/>
          <w:u w:val="single"/>
        </w:rPr>
      </w:pPr>
      <w:r w:rsidRPr="00EC22D1">
        <w:rPr>
          <w:rFonts w:ascii="Times New Roman" w:hAnsi="Times New Roman" w:cs="Times New Roman"/>
          <w:b/>
          <w:i/>
          <w:sz w:val="24"/>
          <w:szCs w:val="24"/>
          <w:u w:val="single"/>
        </w:rPr>
        <w:t>Atbilde:</w:t>
      </w:r>
    </w:p>
    <w:p w:rsidR="005E66E2" w:rsidRPr="00DA676B" w:rsidRDefault="00A017F9" w:rsidP="005E66E2">
      <w:pPr>
        <w:pStyle w:val="ListParagraph"/>
        <w:ind w:left="0" w:right="-908"/>
        <w:jc w:val="both"/>
        <w:rPr>
          <w:rFonts w:ascii="Times New Roman" w:hAnsi="Times New Roman" w:cs="Times New Roman"/>
          <w:sz w:val="24"/>
          <w:szCs w:val="24"/>
        </w:rPr>
      </w:pPr>
      <w:r w:rsidRPr="00DA676B">
        <w:rPr>
          <w:rFonts w:ascii="Times New Roman" w:hAnsi="Times New Roman" w:cs="Times New Roman"/>
          <w:sz w:val="24"/>
          <w:szCs w:val="24"/>
        </w:rPr>
        <w:t>Projektā paredzētais filtru un starpsienu  risinājums pievienots pielikumā.</w:t>
      </w:r>
    </w:p>
    <w:p w:rsidR="00A017F9" w:rsidRPr="00EC22D1" w:rsidRDefault="00A017F9" w:rsidP="005E66E2">
      <w:pPr>
        <w:pStyle w:val="ListParagraph"/>
        <w:ind w:left="0" w:right="-908"/>
        <w:jc w:val="both"/>
        <w:rPr>
          <w:rFonts w:ascii="Times New Roman" w:hAnsi="Times New Roman" w:cs="Times New Roman"/>
          <w:sz w:val="24"/>
          <w:szCs w:val="24"/>
        </w:rPr>
      </w:pPr>
      <w:r w:rsidRPr="00AE4A96">
        <w:rPr>
          <w:rFonts w:ascii="Times New Roman" w:hAnsi="Times New Roman" w:cs="Times New Roman"/>
          <w:b/>
          <w:noProof/>
          <w:sz w:val="24"/>
          <w:szCs w:val="24"/>
        </w:rPr>
        <w:drawing>
          <wp:inline distT="0" distB="0" distL="0" distR="0" wp14:anchorId="307BBC9F" wp14:editId="15FFEC6B">
            <wp:extent cx="5274310" cy="2795565"/>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74310" cy="2795565"/>
                    </a:xfrm>
                    <a:prstGeom prst="rect">
                      <a:avLst/>
                    </a:prstGeom>
                    <a:noFill/>
                    <a:ln w="9525">
                      <a:noFill/>
                      <a:miter lim="800000"/>
                      <a:headEnd/>
                      <a:tailEnd/>
                    </a:ln>
                  </pic:spPr>
                </pic:pic>
              </a:graphicData>
            </a:graphic>
          </wp:inline>
        </w:drawing>
      </w:r>
    </w:p>
    <w:p w:rsidR="005E66E2" w:rsidRPr="00EC22D1" w:rsidRDefault="005E66E2" w:rsidP="005E66E2">
      <w:pPr>
        <w:ind w:right="-908"/>
        <w:jc w:val="both"/>
        <w:rPr>
          <w:lang w:val="lv-LV"/>
        </w:rPr>
      </w:pPr>
      <w:r w:rsidRPr="00EC22D1">
        <w:rPr>
          <w:b/>
          <w:i/>
          <w:u w:val="single"/>
          <w:lang w:val="lv-LV"/>
        </w:rPr>
        <w:t>2.Jautājums:</w:t>
      </w:r>
      <w:r w:rsidRPr="00EC22D1">
        <w:rPr>
          <w:lang w:val="lv-LV"/>
        </w:rPr>
        <w:t xml:space="preserve"> </w:t>
      </w:r>
      <w:r w:rsidRPr="00EC22D1">
        <w:rPr>
          <w:lang w:val="lv-LV"/>
        </w:rPr>
        <w:t xml:space="preserve">Lūdzam skaidrot vai „Lietus attīrīšanas iekārtas 30 l/s uzstādīšanai grodu akās DN2000 (starpsienas, attīrīšanas filtri un </w:t>
      </w:r>
      <w:proofErr w:type="spellStart"/>
      <w:r w:rsidRPr="00EC22D1">
        <w:rPr>
          <w:lang w:val="lv-LV"/>
        </w:rPr>
        <w:t>absorberi</w:t>
      </w:r>
      <w:proofErr w:type="spellEnd"/>
      <w:r w:rsidRPr="00EC22D1">
        <w:rPr>
          <w:lang w:val="lv-LV"/>
        </w:rPr>
        <w:t>) ENA 30B vai analogs” jāparedz rūpnieciski izgatavota iekārta atbilstoši EN858-1 tas ir ar CE marķējumu; nepieciešamo attīrīšanas pakāpi (mg/l); vai komplektācijā ir jāiekļauj naftas līmeņa signalizācija, un  ja ir jāiekļauj tad vai projektā ir paredzēti elektrotīkli signalizācijas barošanai vai Pasūtītājs ir paredzējis signalizācijas darbību ar akumulatoriem.</w:t>
      </w:r>
    </w:p>
    <w:p w:rsidR="005E66E2" w:rsidRPr="00EC22D1" w:rsidRDefault="005E66E2" w:rsidP="005E66E2">
      <w:pPr>
        <w:pStyle w:val="ListParagraph"/>
        <w:ind w:left="0" w:right="-908"/>
        <w:jc w:val="both"/>
        <w:rPr>
          <w:rFonts w:ascii="Times New Roman" w:hAnsi="Times New Roman" w:cs="Times New Roman"/>
          <w:b/>
          <w:i/>
          <w:sz w:val="24"/>
          <w:szCs w:val="24"/>
          <w:u w:val="single"/>
        </w:rPr>
      </w:pPr>
      <w:r w:rsidRPr="00EC22D1">
        <w:rPr>
          <w:rFonts w:ascii="Times New Roman" w:hAnsi="Times New Roman" w:cs="Times New Roman"/>
          <w:b/>
          <w:i/>
          <w:sz w:val="24"/>
          <w:szCs w:val="24"/>
          <w:u w:val="single"/>
        </w:rPr>
        <w:t>Atbilde:</w:t>
      </w:r>
    </w:p>
    <w:p w:rsidR="005E66E2" w:rsidRPr="008451E1" w:rsidRDefault="00A017F9" w:rsidP="005E66E2">
      <w:pPr>
        <w:pStyle w:val="ListParagraph"/>
        <w:ind w:left="0" w:right="-908"/>
        <w:jc w:val="both"/>
        <w:rPr>
          <w:rFonts w:ascii="Times New Roman" w:hAnsi="Times New Roman" w:cs="Times New Roman"/>
          <w:sz w:val="24"/>
          <w:szCs w:val="24"/>
        </w:rPr>
      </w:pPr>
      <w:r w:rsidRPr="008451E1">
        <w:rPr>
          <w:rFonts w:ascii="Times New Roman" w:hAnsi="Times New Roman" w:cs="Times New Roman"/>
          <w:sz w:val="24"/>
          <w:szCs w:val="24"/>
        </w:rPr>
        <w:lastRenderedPageBreak/>
        <w:t>Komplektācijā nav jāiekļauj naftas līmeņa signalizācija</w:t>
      </w:r>
      <w:r w:rsidRPr="008451E1">
        <w:rPr>
          <w:rFonts w:ascii="Times New Roman" w:hAnsi="Times New Roman" w:cs="Times New Roman"/>
          <w:sz w:val="24"/>
          <w:szCs w:val="24"/>
        </w:rPr>
        <w:t>.</w:t>
      </w:r>
    </w:p>
    <w:p w:rsidR="005E66E2" w:rsidRPr="004E2D2F" w:rsidRDefault="005E66E2" w:rsidP="005E66E2">
      <w:pPr>
        <w:ind w:right="-908"/>
        <w:jc w:val="both"/>
        <w:rPr>
          <w:lang w:val="lv-LV"/>
        </w:rPr>
      </w:pPr>
      <w:r w:rsidRPr="00EC22D1">
        <w:rPr>
          <w:b/>
          <w:i/>
          <w:u w:val="single"/>
          <w:lang w:val="lv-LV"/>
        </w:rPr>
        <w:t>3.Jautājums:</w:t>
      </w:r>
      <w:r w:rsidRPr="00EC22D1">
        <w:rPr>
          <w:lang w:val="lv-LV"/>
        </w:rPr>
        <w:t xml:space="preserve"> </w:t>
      </w:r>
      <w:r w:rsidRPr="00EC22D1">
        <w:rPr>
          <w:lang w:val="lv-LV"/>
        </w:rPr>
        <w:t xml:space="preserve">Lūdzam apstiprināt, ka pozīcijā „Lietus attīrīšanas iekārtas 30 l/s uzstādīšanai grodu akās DN2000 ( starpsienas, attīrīšanas filtri </w:t>
      </w:r>
      <w:r w:rsidRPr="004E2D2F">
        <w:rPr>
          <w:lang w:val="lv-LV"/>
        </w:rPr>
        <w:t xml:space="preserve">un </w:t>
      </w:r>
      <w:proofErr w:type="spellStart"/>
      <w:r w:rsidRPr="004E2D2F">
        <w:rPr>
          <w:lang w:val="lv-LV"/>
        </w:rPr>
        <w:t>absorberi</w:t>
      </w:r>
      <w:proofErr w:type="spellEnd"/>
      <w:r w:rsidRPr="004E2D2F">
        <w:rPr>
          <w:lang w:val="lv-LV"/>
        </w:rPr>
        <w:t xml:space="preserve">) ENA 30B vai analogs” ar jēdzienu analogs ir domāts, ka uzņēmējs var piedāvāt attīrīšanas iekārtu bez dzelzsbetona grodiem piemēram </w:t>
      </w:r>
      <w:proofErr w:type="spellStart"/>
      <w:r w:rsidRPr="004E2D2F">
        <w:rPr>
          <w:lang w:val="lv-LV"/>
        </w:rPr>
        <w:t>EuroPEK</w:t>
      </w:r>
      <w:proofErr w:type="spellEnd"/>
      <w:r w:rsidRPr="004E2D2F">
        <w:rPr>
          <w:lang w:val="lv-LV"/>
        </w:rPr>
        <w:t xml:space="preserve"> ROO </w:t>
      </w:r>
      <w:proofErr w:type="spellStart"/>
      <w:r w:rsidRPr="004E2D2F">
        <w:rPr>
          <w:lang w:val="lv-LV"/>
        </w:rPr>
        <w:t>Super</w:t>
      </w:r>
      <w:proofErr w:type="spellEnd"/>
      <w:r w:rsidRPr="004E2D2F">
        <w:rPr>
          <w:lang w:val="lv-LV"/>
        </w:rPr>
        <w:t xml:space="preserve"> </w:t>
      </w:r>
      <w:proofErr w:type="spellStart"/>
      <w:r w:rsidRPr="004E2D2F">
        <w:rPr>
          <w:lang w:val="lv-LV"/>
        </w:rPr>
        <w:t>Kombi</w:t>
      </w:r>
      <w:proofErr w:type="spellEnd"/>
      <w:r w:rsidRPr="004E2D2F">
        <w:rPr>
          <w:lang w:val="lv-LV"/>
        </w:rPr>
        <w:t xml:space="preserve"> NS30-90-3000, kura sevī iekļauj </w:t>
      </w:r>
      <w:proofErr w:type="spellStart"/>
      <w:r w:rsidRPr="004E2D2F">
        <w:rPr>
          <w:lang w:val="lv-LV"/>
        </w:rPr>
        <w:t>apvedcauruli</w:t>
      </w:r>
      <w:proofErr w:type="spellEnd"/>
      <w:r w:rsidRPr="004E2D2F">
        <w:rPr>
          <w:lang w:val="lv-LV"/>
        </w:rPr>
        <w:t xml:space="preserve">, ja atbilde ir idejiski apstiprinoša aicinām mainīt tāmi sadaļās  „Lietus ūdens NAI ar ražību 30l/s” izslēdzot lieko  dzelzsbetona grodu apjomu, </w:t>
      </w:r>
      <w:proofErr w:type="spellStart"/>
      <w:r w:rsidRPr="004E2D2F">
        <w:rPr>
          <w:lang w:val="lv-LV"/>
        </w:rPr>
        <w:t>apvadcaurulei</w:t>
      </w:r>
      <w:proofErr w:type="spellEnd"/>
      <w:r w:rsidRPr="004E2D2F">
        <w:rPr>
          <w:lang w:val="lv-LV"/>
        </w:rPr>
        <w:t xml:space="preserve"> paredzētās akas un </w:t>
      </w:r>
      <w:proofErr w:type="spellStart"/>
      <w:r w:rsidRPr="004E2D2F">
        <w:rPr>
          <w:lang w:val="lv-LV"/>
        </w:rPr>
        <w:t>apvedcauruli</w:t>
      </w:r>
      <w:proofErr w:type="spellEnd"/>
      <w:r w:rsidRPr="004E2D2F">
        <w:rPr>
          <w:lang w:val="lv-LV"/>
        </w:rPr>
        <w:t xml:space="preserve"> un paredzot, ka viss nepieciešamais jāiekļauj pozīcijā „Lietus attīrīšanas iekārtas 30 l/s uzstādīšanai grodu akās DN2000 ( starpsienas, attīrīšanas filtri un </w:t>
      </w:r>
      <w:proofErr w:type="spellStart"/>
      <w:r w:rsidRPr="004E2D2F">
        <w:rPr>
          <w:lang w:val="lv-LV"/>
        </w:rPr>
        <w:t>absorberi</w:t>
      </w:r>
      <w:proofErr w:type="spellEnd"/>
      <w:r w:rsidRPr="004E2D2F">
        <w:rPr>
          <w:lang w:val="lv-LV"/>
        </w:rPr>
        <w:t>) ENA 30B vai analogs”.</w:t>
      </w:r>
    </w:p>
    <w:p w:rsidR="00A017F9" w:rsidRPr="004E2D2F" w:rsidRDefault="005E66E2" w:rsidP="008451E1">
      <w:pPr>
        <w:spacing w:line="276" w:lineRule="auto"/>
        <w:ind w:right="-907"/>
        <w:rPr>
          <w:b/>
          <w:i/>
          <w:u w:val="single"/>
          <w:lang w:val="lv-LV"/>
        </w:rPr>
      </w:pPr>
      <w:r w:rsidRPr="004E2D2F">
        <w:rPr>
          <w:b/>
          <w:i/>
          <w:u w:val="single"/>
          <w:lang w:val="lv-LV"/>
        </w:rPr>
        <w:t>Atbilde:</w:t>
      </w:r>
    </w:p>
    <w:p w:rsidR="005E66E2" w:rsidRPr="004E2D2F" w:rsidRDefault="00A017F9" w:rsidP="005E66E2">
      <w:pPr>
        <w:spacing w:after="200" w:line="276" w:lineRule="auto"/>
        <w:ind w:right="-908"/>
        <w:rPr>
          <w:rFonts w:eastAsiaTheme="minorHAnsi"/>
          <w:i/>
          <w:u w:val="single"/>
          <w:lang w:val="lv-LV"/>
        </w:rPr>
      </w:pPr>
      <w:r w:rsidRPr="004E2D2F">
        <w:rPr>
          <w:lang w:val="lv-LV"/>
        </w:rPr>
        <w:t xml:space="preserve">Pozīcijā ar jēdzienu analogs domāts tas, ka var pielietot analogus materiālus - </w:t>
      </w:r>
      <w:proofErr w:type="spellStart"/>
      <w:r w:rsidRPr="004E2D2F">
        <w:rPr>
          <w:lang w:val="lv-LV"/>
        </w:rPr>
        <w:t>dzelzbetona</w:t>
      </w:r>
      <w:proofErr w:type="spellEnd"/>
      <w:r w:rsidRPr="004E2D2F">
        <w:rPr>
          <w:lang w:val="lv-LV"/>
        </w:rPr>
        <w:t xml:space="preserve"> akas, filtrus un citus elementus, ja vien tie ir analogi projektā paredzētajiem un atbilst normatīvo aktu prasībām</w:t>
      </w:r>
      <w:r w:rsidRPr="004E2D2F">
        <w:rPr>
          <w:lang w:val="lv-LV"/>
        </w:rPr>
        <w:t>.</w:t>
      </w:r>
    </w:p>
    <w:p w:rsidR="005E66E2" w:rsidRPr="00EC22D1" w:rsidRDefault="005E66E2" w:rsidP="005E66E2">
      <w:pPr>
        <w:ind w:right="-908"/>
        <w:jc w:val="both"/>
        <w:rPr>
          <w:lang w:val="lv-LV"/>
        </w:rPr>
      </w:pPr>
      <w:r w:rsidRPr="00EC22D1">
        <w:rPr>
          <w:b/>
          <w:i/>
          <w:u w:val="single"/>
          <w:lang w:val="lv-LV"/>
        </w:rPr>
        <w:t>4.Jautājums:</w:t>
      </w:r>
      <w:r w:rsidRPr="00EC22D1">
        <w:rPr>
          <w:lang w:val="lv-LV"/>
        </w:rPr>
        <w:t xml:space="preserve"> </w:t>
      </w:r>
      <w:r w:rsidRPr="00EC22D1">
        <w:rPr>
          <w:lang w:val="lv-LV"/>
        </w:rPr>
        <w:t>Lūdzam labot apjomus sadaļas „Lietus ūdens kanalizācija” cauruļvadu izbūvei, jo apjomu tabulā norādītie apjomi ir mazāki par Tehniskā projektā lapās ŪKT-1 1/2 un 2/2 esošajiem „Kanalizācijas plastmasas caurules PP (SN8) DN/OD160” par 21,0m; „Kanalizācijas plastmasas caurules PP (SN8) DN/OD250” par 20,7m, bet lielāki „Kanalizācijas plastmasas caurules PP (SN8) DN/OD200” par 14,8m.</w:t>
      </w:r>
    </w:p>
    <w:tbl>
      <w:tblPr>
        <w:tblW w:w="3853" w:type="dxa"/>
        <w:jc w:val="center"/>
        <w:tblLook w:val="04A0" w:firstRow="1" w:lastRow="0" w:firstColumn="1" w:lastColumn="0" w:noHBand="0" w:noVBand="1"/>
      </w:tblPr>
      <w:tblGrid>
        <w:gridCol w:w="960"/>
        <w:gridCol w:w="1016"/>
        <w:gridCol w:w="1003"/>
        <w:gridCol w:w="1016"/>
      </w:tblGrid>
      <w:tr w:rsidR="005E66E2" w:rsidRPr="00EC22D1" w:rsidTr="00791B4C">
        <w:trPr>
          <w:trHeight w:val="255"/>
          <w:jc w:val="center"/>
        </w:trPr>
        <w:tc>
          <w:tcPr>
            <w:tcW w:w="3853" w:type="dxa"/>
            <w:gridSpan w:val="4"/>
            <w:tcBorders>
              <w:top w:val="single" w:sz="8" w:space="0" w:color="auto"/>
              <w:left w:val="single" w:sz="8" w:space="0" w:color="auto"/>
              <w:bottom w:val="single" w:sz="4" w:space="0" w:color="auto"/>
              <w:right w:val="single" w:sz="8" w:space="0" w:color="000000"/>
            </w:tcBorders>
            <w:shd w:val="clear" w:color="000000" w:fill="DDD9C3"/>
            <w:noWrap/>
            <w:vAlign w:val="center"/>
            <w:hideMark/>
          </w:tcPr>
          <w:p w:rsidR="005E66E2" w:rsidRPr="00EC22D1" w:rsidRDefault="005E66E2" w:rsidP="005E66E2">
            <w:pPr>
              <w:ind w:right="-72"/>
              <w:jc w:val="center"/>
              <w:rPr>
                <w:rFonts w:cs="Arial"/>
                <w:b/>
                <w:bCs/>
                <w:lang w:val="lv-LV"/>
              </w:rPr>
            </w:pPr>
            <w:r w:rsidRPr="00EC22D1">
              <w:rPr>
                <w:rFonts w:cs="Arial"/>
                <w:b/>
                <w:bCs/>
                <w:lang w:val="lv-LV"/>
              </w:rPr>
              <w:t>Lietus ūdens kanalizācijas tīkli</w:t>
            </w:r>
          </w:p>
        </w:tc>
      </w:tr>
      <w:tr w:rsidR="005E66E2" w:rsidRPr="00EC22D1" w:rsidTr="00791B4C">
        <w:trPr>
          <w:trHeight w:val="510"/>
          <w:jc w:val="center"/>
        </w:trPr>
        <w:tc>
          <w:tcPr>
            <w:tcW w:w="960" w:type="dxa"/>
            <w:tcBorders>
              <w:top w:val="nil"/>
              <w:left w:val="single" w:sz="8" w:space="0" w:color="auto"/>
              <w:bottom w:val="single" w:sz="4" w:space="0" w:color="auto"/>
              <w:right w:val="single" w:sz="8" w:space="0" w:color="auto"/>
            </w:tcBorders>
            <w:shd w:val="clear" w:color="000000" w:fill="DDD9C3"/>
            <w:vAlign w:val="center"/>
            <w:hideMark/>
          </w:tcPr>
          <w:p w:rsidR="005E66E2" w:rsidRPr="00EC22D1" w:rsidRDefault="005E66E2" w:rsidP="005E66E2">
            <w:pPr>
              <w:ind w:right="-131"/>
              <w:jc w:val="center"/>
              <w:rPr>
                <w:rFonts w:cs="Arial"/>
                <w:lang w:val="lv-LV"/>
              </w:rPr>
            </w:pPr>
            <w:r w:rsidRPr="00EC22D1">
              <w:rPr>
                <w:rFonts w:cs="Arial"/>
                <w:lang w:val="lv-LV"/>
              </w:rPr>
              <w:t>DN</w:t>
            </w:r>
          </w:p>
        </w:tc>
        <w:tc>
          <w:tcPr>
            <w:tcW w:w="960" w:type="dxa"/>
            <w:tcBorders>
              <w:top w:val="nil"/>
              <w:left w:val="nil"/>
              <w:bottom w:val="single" w:sz="4" w:space="0" w:color="auto"/>
              <w:right w:val="single" w:sz="4" w:space="0" w:color="auto"/>
            </w:tcBorders>
            <w:shd w:val="clear" w:color="000000" w:fill="DDD9C3"/>
            <w:vAlign w:val="center"/>
            <w:hideMark/>
          </w:tcPr>
          <w:p w:rsidR="005E66E2" w:rsidRPr="00EC22D1" w:rsidRDefault="005E66E2" w:rsidP="005E66E2">
            <w:pPr>
              <w:ind w:right="-20"/>
              <w:jc w:val="center"/>
              <w:rPr>
                <w:rFonts w:cs="Arial"/>
                <w:lang w:val="lv-LV"/>
              </w:rPr>
            </w:pPr>
            <w:r w:rsidRPr="00EC22D1">
              <w:rPr>
                <w:rFonts w:cs="Arial"/>
                <w:lang w:val="lv-LV"/>
              </w:rPr>
              <w:t>Projektā (ŪKT-1)</w:t>
            </w:r>
          </w:p>
        </w:tc>
        <w:tc>
          <w:tcPr>
            <w:tcW w:w="960" w:type="dxa"/>
            <w:tcBorders>
              <w:top w:val="nil"/>
              <w:left w:val="nil"/>
              <w:bottom w:val="single" w:sz="4" w:space="0" w:color="auto"/>
              <w:right w:val="single" w:sz="4" w:space="0" w:color="auto"/>
            </w:tcBorders>
            <w:shd w:val="clear" w:color="000000" w:fill="DDD9C3"/>
            <w:vAlign w:val="center"/>
            <w:hideMark/>
          </w:tcPr>
          <w:p w:rsidR="005E66E2" w:rsidRPr="00EC22D1" w:rsidRDefault="005E66E2" w:rsidP="005E66E2">
            <w:pPr>
              <w:ind w:right="-33"/>
              <w:jc w:val="center"/>
              <w:rPr>
                <w:rFonts w:cs="Arial"/>
                <w:lang w:val="lv-LV"/>
              </w:rPr>
            </w:pPr>
            <w:r w:rsidRPr="00EC22D1">
              <w:rPr>
                <w:rFonts w:cs="Arial"/>
                <w:lang w:val="lv-LV"/>
              </w:rPr>
              <w:t>Apjomu tabulā</w:t>
            </w:r>
          </w:p>
        </w:tc>
        <w:tc>
          <w:tcPr>
            <w:tcW w:w="973" w:type="dxa"/>
            <w:tcBorders>
              <w:top w:val="nil"/>
              <w:left w:val="nil"/>
              <w:bottom w:val="single" w:sz="4" w:space="0" w:color="auto"/>
              <w:right w:val="single" w:sz="8" w:space="0" w:color="auto"/>
            </w:tcBorders>
            <w:shd w:val="clear" w:color="000000" w:fill="DDD9C3"/>
            <w:vAlign w:val="center"/>
            <w:hideMark/>
          </w:tcPr>
          <w:p w:rsidR="005E66E2" w:rsidRPr="00EC22D1" w:rsidRDefault="005E66E2" w:rsidP="005E66E2">
            <w:pPr>
              <w:ind w:right="-72"/>
              <w:jc w:val="center"/>
              <w:rPr>
                <w:rFonts w:cs="Arial"/>
                <w:lang w:val="lv-LV"/>
              </w:rPr>
            </w:pPr>
            <w:r w:rsidRPr="00EC22D1">
              <w:rPr>
                <w:rFonts w:cs="Arial"/>
                <w:lang w:val="lv-LV"/>
              </w:rPr>
              <w:t>Starpība</w:t>
            </w:r>
          </w:p>
        </w:tc>
      </w:tr>
      <w:tr w:rsidR="005E66E2" w:rsidRPr="00EC22D1" w:rsidTr="00791B4C">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5E66E2" w:rsidRPr="00EC22D1" w:rsidRDefault="005E66E2" w:rsidP="005E66E2">
            <w:pPr>
              <w:ind w:right="-131"/>
              <w:jc w:val="center"/>
              <w:rPr>
                <w:rFonts w:cs="Arial"/>
                <w:lang w:val="lv-LV"/>
              </w:rPr>
            </w:pPr>
            <w:r w:rsidRPr="00EC22D1">
              <w:rPr>
                <w:rFonts w:cs="Arial"/>
                <w:lang w:val="lv-LV"/>
              </w:rPr>
              <w:t>160</w:t>
            </w:r>
          </w:p>
        </w:tc>
        <w:tc>
          <w:tcPr>
            <w:tcW w:w="960"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5E66E2">
            <w:pPr>
              <w:ind w:right="-20"/>
              <w:jc w:val="center"/>
              <w:rPr>
                <w:rFonts w:cs="Arial"/>
                <w:lang w:val="lv-LV"/>
              </w:rPr>
            </w:pPr>
            <w:r w:rsidRPr="00EC22D1">
              <w:rPr>
                <w:rFonts w:cs="Arial"/>
                <w:lang w:val="lv-LV"/>
              </w:rPr>
              <w:t>627,5</w:t>
            </w:r>
          </w:p>
        </w:tc>
        <w:tc>
          <w:tcPr>
            <w:tcW w:w="960"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5E66E2">
            <w:pPr>
              <w:ind w:right="-33"/>
              <w:jc w:val="center"/>
              <w:rPr>
                <w:rFonts w:cs="Arial"/>
                <w:lang w:val="lv-LV"/>
              </w:rPr>
            </w:pPr>
            <w:r w:rsidRPr="00EC22D1">
              <w:rPr>
                <w:rFonts w:cs="Arial"/>
                <w:lang w:val="lv-LV"/>
              </w:rPr>
              <w:t>606,50</w:t>
            </w:r>
          </w:p>
        </w:tc>
        <w:tc>
          <w:tcPr>
            <w:tcW w:w="973" w:type="dxa"/>
            <w:tcBorders>
              <w:top w:val="nil"/>
              <w:left w:val="nil"/>
              <w:bottom w:val="single" w:sz="4" w:space="0" w:color="auto"/>
              <w:right w:val="single" w:sz="8" w:space="0" w:color="auto"/>
            </w:tcBorders>
            <w:shd w:val="clear" w:color="000000" w:fill="FFFF00"/>
            <w:noWrap/>
            <w:vAlign w:val="center"/>
            <w:hideMark/>
          </w:tcPr>
          <w:p w:rsidR="005E66E2" w:rsidRPr="00EC22D1" w:rsidRDefault="005E66E2" w:rsidP="005E66E2">
            <w:pPr>
              <w:ind w:right="-72"/>
              <w:jc w:val="center"/>
              <w:rPr>
                <w:rFonts w:cs="Arial"/>
                <w:b/>
                <w:bCs/>
                <w:color w:val="FF0000"/>
                <w:lang w:val="lv-LV"/>
              </w:rPr>
            </w:pPr>
            <w:r w:rsidRPr="00EC22D1">
              <w:rPr>
                <w:rFonts w:cs="Arial"/>
                <w:b/>
                <w:bCs/>
                <w:color w:val="FF0000"/>
                <w:lang w:val="lv-LV"/>
              </w:rPr>
              <w:t>-21,00</w:t>
            </w:r>
          </w:p>
        </w:tc>
      </w:tr>
      <w:tr w:rsidR="005E66E2" w:rsidRPr="00EC22D1" w:rsidTr="00791B4C">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5E66E2" w:rsidRPr="00EC22D1" w:rsidRDefault="005E66E2" w:rsidP="005E66E2">
            <w:pPr>
              <w:ind w:right="-131"/>
              <w:jc w:val="center"/>
              <w:rPr>
                <w:rFonts w:cs="Arial"/>
                <w:lang w:val="lv-LV"/>
              </w:rPr>
            </w:pPr>
            <w:r w:rsidRPr="00EC22D1">
              <w:rPr>
                <w:rFonts w:cs="Arial"/>
                <w:lang w:val="lv-LV"/>
              </w:rPr>
              <w:t>200</w:t>
            </w:r>
          </w:p>
        </w:tc>
        <w:tc>
          <w:tcPr>
            <w:tcW w:w="960"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5E66E2">
            <w:pPr>
              <w:ind w:right="-20"/>
              <w:jc w:val="center"/>
              <w:rPr>
                <w:rFonts w:cs="Arial"/>
                <w:lang w:val="lv-LV"/>
              </w:rPr>
            </w:pPr>
            <w:r w:rsidRPr="00EC22D1">
              <w:rPr>
                <w:rFonts w:cs="Arial"/>
                <w:lang w:val="lv-LV"/>
              </w:rPr>
              <w:t>432,3</w:t>
            </w:r>
          </w:p>
        </w:tc>
        <w:tc>
          <w:tcPr>
            <w:tcW w:w="960"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5E66E2">
            <w:pPr>
              <w:ind w:right="-33"/>
              <w:jc w:val="center"/>
              <w:rPr>
                <w:rFonts w:cs="Arial"/>
                <w:lang w:val="lv-LV"/>
              </w:rPr>
            </w:pPr>
            <w:r w:rsidRPr="00EC22D1">
              <w:rPr>
                <w:rFonts w:cs="Arial"/>
                <w:lang w:val="lv-LV"/>
              </w:rPr>
              <w:t>447,10</w:t>
            </w:r>
          </w:p>
        </w:tc>
        <w:tc>
          <w:tcPr>
            <w:tcW w:w="973" w:type="dxa"/>
            <w:tcBorders>
              <w:top w:val="nil"/>
              <w:left w:val="nil"/>
              <w:bottom w:val="single" w:sz="4" w:space="0" w:color="auto"/>
              <w:right w:val="single" w:sz="8" w:space="0" w:color="auto"/>
            </w:tcBorders>
            <w:shd w:val="clear" w:color="000000" w:fill="FFFF00"/>
            <w:noWrap/>
            <w:vAlign w:val="center"/>
            <w:hideMark/>
          </w:tcPr>
          <w:p w:rsidR="005E66E2" w:rsidRPr="00EC22D1" w:rsidRDefault="005E66E2" w:rsidP="005E66E2">
            <w:pPr>
              <w:ind w:right="-72"/>
              <w:jc w:val="center"/>
              <w:rPr>
                <w:rFonts w:cs="Arial"/>
                <w:b/>
                <w:bCs/>
                <w:lang w:val="lv-LV"/>
              </w:rPr>
            </w:pPr>
            <w:r w:rsidRPr="00EC22D1">
              <w:rPr>
                <w:rFonts w:cs="Arial"/>
                <w:b/>
                <w:bCs/>
                <w:lang w:val="lv-LV"/>
              </w:rPr>
              <w:t>14,80</w:t>
            </w:r>
          </w:p>
        </w:tc>
      </w:tr>
      <w:tr w:rsidR="005E66E2" w:rsidRPr="00EC22D1" w:rsidTr="00791B4C">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5E66E2" w:rsidRPr="00EC22D1" w:rsidRDefault="005E66E2" w:rsidP="005E66E2">
            <w:pPr>
              <w:ind w:right="-131"/>
              <w:jc w:val="center"/>
              <w:rPr>
                <w:rFonts w:cs="Arial"/>
                <w:lang w:val="lv-LV"/>
              </w:rPr>
            </w:pPr>
            <w:r w:rsidRPr="00EC22D1">
              <w:rPr>
                <w:rFonts w:cs="Arial"/>
                <w:lang w:val="lv-LV"/>
              </w:rPr>
              <w:t>250</w:t>
            </w:r>
          </w:p>
        </w:tc>
        <w:tc>
          <w:tcPr>
            <w:tcW w:w="960"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5E66E2">
            <w:pPr>
              <w:ind w:right="-20"/>
              <w:jc w:val="center"/>
              <w:rPr>
                <w:rFonts w:cs="Arial"/>
                <w:lang w:val="lv-LV"/>
              </w:rPr>
            </w:pPr>
            <w:r w:rsidRPr="00EC22D1">
              <w:rPr>
                <w:rFonts w:cs="Arial"/>
                <w:lang w:val="lv-LV"/>
              </w:rPr>
              <w:t>1498,4</w:t>
            </w:r>
          </w:p>
        </w:tc>
        <w:tc>
          <w:tcPr>
            <w:tcW w:w="960"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5E66E2">
            <w:pPr>
              <w:ind w:right="-33"/>
              <w:jc w:val="center"/>
              <w:rPr>
                <w:rFonts w:cs="Arial"/>
                <w:lang w:val="lv-LV"/>
              </w:rPr>
            </w:pPr>
            <w:r w:rsidRPr="00EC22D1">
              <w:rPr>
                <w:rFonts w:cs="Arial"/>
                <w:lang w:val="lv-LV"/>
              </w:rPr>
              <w:t>1477,70</w:t>
            </w:r>
          </w:p>
        </w:tc>
        <w:tc>
          <w:tcPr>
            <w:tcW w:w="973" w:type="dxa"/>
            <w:tcBorders>
              <w:top w:val="nil"/>
              <w:left w:val="nil"/>
              <w:bottom w:val="single" w:sz="4" w:space="0" w:color="auto"/>
              <w:right w:val="single" w:sz="8" w:space="0" w:color="auto"/>
            </w:tcBorders>
            <w:shd w:val="clear" w:color="000000" w:fill="FFFF00"/>
            <w:noWrap/>
            <w:vAlign w:val="center"/>
            <w:hideMark/>
          </w:tcPr>
          <w:p w:rsidR="005E66E2" w:rsidRPr="00EC22D1" w:rsidRDefault="005E66E2" w:rsidP="005E66E2">
            <w:pPr>
              <w:ind w:right="-72"/>
              <w:jc w:val="center"/>
              <w:rPr>
                <w:rFonts w:cs="Arial"/>
                <w:b/>
                <w:bCs/>
                <w:color w:val="FF0000"/>
                <w:lang w:val="lv-LV"/>
              </w:rPr>
            </w:pPr>
            <w:r w:rsidRPr="00EC22D1">
              <w:rPr>
                <w:rFonts w:cs="Arial"/>
                <w:b/>
                <w:bCs/>
                <w:color w:val="FF0000"/>
                <w:lang w:val="lv-LV"/>
              </w:rPr>
              <w:t>-20,70</w:t>
            </w:r>
          </w:p>
        </w:tc>
      </w:tr>
    </w:tbl>
    <w:p w:rsidR="005E66E2" w:rsidRPr="00EC22D1" w:rsidRDefault="005E66E2" w:rsidP="005E66E2">
      <w:pPr>
        <w:pStyle w:val="ListParagraph"/>
        <w:numPr>
          <w:ilvl w:val="0"/>
          <w:numId w:val="2"/>
        </w:numPr>
        <w:ind w:left="0" w:right="-908" w:firstLine="0"/>
        <w:rPr>
          <w:rFonts w:ascii="Times New Roman" w:hAnsi="Times New Roman" w:cs="Times New Roman"/>
          <w:sz w:val="24"/>
          <w:szCs w:val="24"/>
        </w:rPr>
      </w:pPr>
      <w:r w:rsidRPr="00EC22D1">
        <w:rPr>
          <w:rFonts w:ascii="Times New Roman" w:hAnsi="Times New Roman" w:cs="Times New Roman"/>
          <w:sz w:val="24"/>
          <w:szCs w:val="24"/>
        </w:rPr>
        <w:t>Idejiski līdzīgi jālabo saistītie sadaļas apjomi pozīcijām:</w:t>
      </w:r>
    </w:p>
    <w:p w:rsidR="005E66E2" w:rsidRPr="00EC22D1" w:rsidRDefault="005E66E2" w:rsidP="005E66E2">
      <w:pPr>
        <w:pStyle w:val="ListParagraph"/>
        <w:numPr>
          <w:ilvl w:val="0"/>
          <w:numId w:val="2"/>
        </w:numPr>
        <w:ind w:left="0" w:right="-908" w:firstLine="0"/>
        <w:rPr>
          <w:rFonts w:ascii="Times New Roman" w:hAnsi="Times New Roman" w:cs="Times New Roman"/>
          <w:sz w:val="24"/>
          <w:szCs w:val="24"/>
        </w:rPr>
      </w:pPr>
      <w:r w:rsidRPr="00EC22D1">
        <w:rPr>
          <w:rFonts w:ascii="Times New Roman" w:hAnsi="Times New Roman" w:cs="Times New Roman"/>
          <w:sz w:val="24"/>
          <w:szCs w:val="24"/>
        </w:rPr>
        <w:t xml:space="preserve">Ierakuma rakšana, liekās grunts transportēšana uz pasūtītāja </w:t>
      </w:r>
      <w:proofErr w:type="spellStart"/>
      <w:r w:rsidRPr="00EC22D1">
        <w:rPr>
          <w:rFonts w:ascii="Times New Roman" w:hAnsi="Times New Roman" w:cs="Times New Roman"/>
          <w:sz w:val="24"/>
          <w:szCs w:val="24"/>
        </w:rPr>
        <w:t>atbērtni</w:t>
      </w:r>
      <w:proofErr w:type="spellEnd"/>
      <w:r w:rsidRPr="00EC22D1">
        <w:rPr>
          <w:rFonts w:ascii="Times New Roman" w:hAnsi="Times New Roman" w:cs="Times New Roman"/>
          <w:sz w:val="24"/>
          <w:szCs w:val="24"/>
        </w:rPr>
        <w:t xml:space="preserve"> līdz 15km</w:t>
      </w:r>
    </w:p>
    <w:p w:rsidR="005E66E2" w:rsidRPr="00EC22D1" w:rsidRDefault="005E66E2" w:rsidP="005E66E2">
      <w:pPr>
        <w:pStyle w:val="ListParagraph"/>
        <w:numPr>
          <w:ilvl w:val="0"/>
          <w:numId w:val="2"/>
        </w:numPr>
        <w:ind w:left="0" w:right="-908" w:firstLine="0"/>
        <w:rPr>
          <w:rFonts w:ascii="Times New Roman" w:hAnsi="Times New Roman" w:cs="Times New Roman"/>
          <w:sz w:val="24"/>
          <w:szCs w:val="24"/>
        </w:rPr>
      </w:pPr>
      <w:r w:rsidRPr="00EC22D1">
        <w:rPr>
          <w:rFonts w:ascii="Times New Roman" w:hAnsi="Times New Roman" w:cs="Times New Roman"/>
          <w:sz w:val="24"/>
          <w:szCs w:val="24"/>
        </w:rPr>
        <w:t xml:space="preserve">Ierakuma rakšana slāņainā dolomītā, liekās grunts transportēšana uz pasūtītāja </w:t>
      </w:r>
      <w:proofErr w:type="spellStart"/>
      <w:r w:rsidRPr="00EC22D1">
        <w:rPr>
          <w:rFonts w:ascii="Times New Roman" w:hAnsi="Times New Roman" w:cs="Times New Roman"/>
          <w:sz w:val="24"/>
          <w:szCs w:val="24"/>
        </w:rPr>
        <w:t>atbērtni</w:t>
      </w:r>
      <w:proofErr w:type="spellEnd"/>
      <w:r w:rsidRPr="00EC22D1">
        <w:rPr>
          <w:rFonts w:ascii="Times New Roman" w:hAnsi="Times New Roman" w:cs="Times New Roman"/>
          <w:sz w:val="24"/>
          <w:szCs w:val="24"/>
        </w:rPr>
        <w:t xml:space="preserve"> līdz 15km</w:t>
      </w:r>
    </w:p>
    <w:p w:rsidR="005E66E2" w:rsidRPr="00EC22D1" w:rsidRDefault="005E66E2" w:rsidP="005E66E2">
      <w:pPr>
        <w:pStyle w:val="ListParagraph"/>
        <w:numPr>
          <w:ilvl w:val="0"/>
          <w:numId w:val="2"/>
        </w:numPr>
        <w:ind w:left="0" w:right="-908" w:firstLine="0"/>
        <w:rPr>
          <w:rFonts w:ascii="Times New Roman" w:hAnsi="Times New Roman" w:cs="Times New Roman"/>
          <w:sz w:val="24"/>
          <w:szCs w:val="24"/>
        </w:rPr>
      </w:pPr>
      <w:proofErr w:type="spellStart"/>
      <w:r w:rsidRPr="00EC22D1">
        <w:rPr>
          <w:rFonts w:ascii="Times New Roman" w:hAnsi="Times New Roman" w:cs="Times New Roman"/>
          <w:sz w:val="24"/>
          <w:szCs w:val="24"/>
        </w:rPr>
        <w:t>Signāllenta</w:t>
      </w:r>
      <w:proofErr w:type="spellEnd"/>
      <w:r w:rsidRPr="00EC22D1">
        <w:rPr>
          <w:rFonts w:ascii="Times New Roman" w:hAnsi="Times New Roman" w:cs="Times New Roman"/>
          <w:sz w:val="24"/>
          <w:szCs w:val="24"/>
        </w:rPr>
        <w:t xml:space="preserve"> virs caurules</w:t>
      </w:r>
    </w:p>
    <w:p w:rsidR="005E66E2" w:rsidRPr="00EC22D1" w:rsidRDefault="005E66E2" w:rsidP="005E66E2">
      <w:pPr>
        <w:pStyle w:val="ListParagraph"/>
        <w:numPr>
          <w:ilvl w:val="0"/>
          <w:numId w:val="2"/>
        </w:numPr>
        <w:ind w:left="0" w:right="-908" w:firstLine="0"/>
        <w:rPr>
          <w:rFonts w:ascii="Times New Roman" w:hAnsi="Times New Roman" w:cs="Times New Roman"/>
          <w:sz w:val="24"/>
          <w:szCs w:val="24"/>
        </w:rPr>
      </w:pPr>
      <w:r w:rsidRPr="00EC22D1">
        <w:rPr>
          <w:rFonts w:ascii="Times New Roman" w:hAnsi="Times New Roman" w:cs="Times New Roman"/>
          <w:sz w:val="24"/>
          <w:szCs w:val="24"/>
        </w:rPr>
        <w:t>Tranšejas aizbēršana ar smilti 0.5m virs caurules</w:t>
      </w:r>
    </w:p>
    <w:p w:rsidR="005E66E2" w:rsidRPr="00EC22D1" w:rsidRDefault="005E66E2" w:rsidP="005E66E2">
      <w:pPr>
        <w:pStyle w:val="ListParagraph"/>
        <w:numPr>
          <w:ilvl w:val="0"/>
          <w:numId w:val="2"/>
        </w:numPr>
        <w:ind w:left="0" w:right="-908" w:firstLine="0"/>
        <w:rPr>
          <w:rFonts w:ascii="Times New Roman" w:hAnsi="Times New Roman" w:cs="Times New Roman"/>
          <w:sz w:val="24"/>
          <w:szCs w:val="24"/>
        </w:rPr>
      </w:pPr>
      <w:r w:rsidRPr="00EC22D1">
        <w:rPr>
          <w:rFonts w:ascii="Times New Roman" w:hAnsi="Times New Roman" w:cs="Times New Roman"/>
          <w:sz w:val="24"/>
          <w:szCs w:val="24"/>
        </w:rPr>
        <w:t>Tranšejas aizbēršana ar esošo grunti</w:t>
      </w:r>
    </w:p>
    <w:p w:rsidR="005E66E2" w:rsidRPr="00EC22D1" w:rsidRDefault="005E66E2" w:rsidP="00352957">
      <w:pPr>
        <w:pStyle w:val="ListParagraph"/>
        <w:numPr>
          <w:ilvl w:val="0"/>
          <w:numId w:val="2"/>
        </w:numPr>
        <w:spacing w:after="0"/>
        <w:ind w:left="0" w:right="-907" w:firstLine="0"/>
        <w:rPr>
          <w:rFonts w:ascii="Times New Roman" w:hAnsi="Times New Roman" w:cs="Times New Roman"/>
          <w:sz w:val="24"/>
          <w:szCs w:val="24"/>
        </w:rPr>
      </w:pPr>
      <w:r w:rsidRPr="00EC22D1">
        <w:rPr>
          <w:rFonts w:ascii="Times New Roman" w:hAnsi="Times New Roman" w:cs="Times New Roman"/>
          <w:sz w:val="24"/>
          <w:szCs w:val="24"/>
        </w:rPr>
        <w:t>Cauruļvadu un aku CCTV pārbaude</w:t>
      </w:r>
    </w:p>
    <w:p w:rsidR="005E66E2" w:rsidRPr="00EC22D1" w:rsidRDefault="005E66E2" w:rsidP="005E66E2">
      <w:pPr>
        <w:ind w:right="-908"/>
        <w:rPr>
          <w:b/>
          <w:i/>
          <w:u w:val="single"/>
          <w:lang w:val="lv-LV"/>
        </w:rPr>
      </w:pPr>
      <w:r w:rsidRPr="00EC22D1">
        <w:rPr>
          <w:b/>
          <w:i/>
          <w:u w:val="single"/>
          <w:lang w:val="lv-LV"/>
        </w:rPr>
        <w:t xml:space="preserve">Atbilde: </w:t>
      </w:r>
    </w:p>
    <w:p w:rsidR="005E66E2" w:rsidRDefault="00A24E16" w:rsidP="005E66E2">
      <w:pPr>
        <w:ind w:right="-908"/>
        <w:rPr>
          <w:b/>
        </w:rPr>
      </w:pPr>
      <w:proofErr w:type="spellStart"/>
      <w:r w:rsidRPr="00352957">
        <w:t>Apjomi</w:t>
      </w:r>
      <w:proofErr w:type="spellEnd"/>
      <w:r w:rsidRPr="00352957">
        <w:t xml:space="preserve"> </w:t>
      </w:r>
      <w:proofErr w:type="spellStart"/>
      <w:r w:rsidRPr="00352957">
        <w:t>projektā</w:t>
      </w:r>
      <w:proofErr w:type="spellEnd"/>
      <w:r w:rsidRPr="00352957">
        <w:t xml:space="preserve"> </w:t>
      </w:r>
      <w:proofErr w:type="spellStart"/>
      <w:r w:rsidRPr="00352957">
        <w:t>norādīti</w:t>
      </w:r>
      <w:proofErr w:type="spellEnd"/>
      <w:r w:rsidRPr="00352957">
        <w:t xml:space="preserve"> </w:t>
      </w:r>
      <w:proofErr w:type="spellStart"/>
      <w:r w:rsidRPr="00352957">
        <w:t>pareizi</w:t>
      </w:r>
      <w:proofErr w:type="spellEnd"/>
      <w:r w:rsidRPr="00352957">
        <w:t>.</w:t>
      </w:r>
    </w:p>
    <w:p w:rsidR="00A24E16" w:rsidRPr="00EC22D1" w:rsidRDefault="00A24E16" w:rsidP="005E66E2">
      <w:pPr>
        <w:ind w:right="-908"/>
        <w:rPr>
          <w:lang w:val="lv-LV"/>
        </w:rPr>
      </w:pPr>
    </w:p>
    <w:p w:rsidR="005E66E2" w:rsidRPr="00EC22D1" w:rsidRDefault="00C211DF" w:rsidP="00C211DF">
      <w:pPr>
        <w:ind w:right="-908"/>
        <w:jc w:val="both"/>
        <w:rPr>
          <w:lang w:val="lv-LV"/>
        </w:rPr>
      </w:pPr>
      <w:r w:rsidRPr="00EC22D1">
        <w:rPr>
          <w:b/>
          <w:i/>
          <w:u w:val="single"/>
          <w:lang w:val="lv-LV"/>
        </w:rPr>
        <w:t>5</w:t>
      </w:r>
      <w:r w:rsidRPr="00EC22D1">
        <w:rPr>
          <w:b/>
          <w:i/>
          <w:u w:val="single"/>
          <w:lang w:val="lv-LV"/>
        </w:rPr>
        <w:t>.Jautājums:</w:t>
      </w:r>
      <w:r w:rsidRPr="00EC22D1">
        <w:rPr>
          <w:b/>
          <w:i/>
          <w:lang w:val="lv-LV"/>
        </w:rPr>
        <w:t xml:space="preserve"> </w:t>
      </w:r>
      <w:r w:rsidR="005E66E2" w:rsidRPr="00EC22D1">
        <w:rPr>
          <w:lang w:val="lv-LV"/>
        </w:rPr>
        <w:t>Lūdzam labot apjomus sadaļās „Lietus ūdens kanalizācija” un „Lietus ūdens NAI ar ražību 30l/s” dzelzsbetona aku izbūvei, jo specifikācijā norādītie apjomi neatbilst tehniskā projekta lapās ŪKT-1 1/2 un 2/2 esošajiem:</w:t>
      </w:r>
    </w:p>
    <w:tbl>
      <w:tblPr>
        <w:tblW w:w="4507" w:type="dxa"/>
        <w:jc w:val="center"/>
        <w:tblLayout w:type="fixed"/>
        <w:tblLook w:val="04A0" w:firstRow="1" w:lastRow="0" w:firstColumn="1" w:lastColumn="0" w:noHBand="0" w:noVBand="1"/>
      </w:tblPr>
      <w:tblGrid>
        <w:gridCol w:w="960"/>
        <w:gridCol w:w="1343"/>
        <w:gridCol w:w="1134"/>
        <w:gridCol w:w="1070"/>
      </w:tblGrid>
      <w:tr w:rsidR="005E66E2" w:rsidRPr="00EC22D1" w:rsidTr="00791B4C">
        <w:trPr>
          <w:trHeight w:val="255"/>
          <w:jc w:val="center"/>
        </w:trPr>
        <w:tc>
          <w:tcPr>
            <w:tcW w:w="4507" w:type="dxa"/>
            <w:gridSpan w:val="4"/>
            <w:tcBorders>
              <w:top w:val="single" w:sz="8" w:space="0" w:color="auto"/>
              <w:left w:val="single" w:sz="8" w:space="0" w:color="auto"/>
              <w:bottom w:val="single" w:sz="4" w:space="0" w:color="auto"/>
              <w:right w:val="single" w:sz="8" w:space="0" w:color="000000"/>
            </w:tcBorders>
            <w:shd w:val="clear" w:color="000000" w:fill="DDD9C3"/>
            <w:noWrap/>
            <w:vAlign w:val="bottom"/>
            <w:hideMark/>
          </w:tcPr>
          <w:p w:rsidR="005E66E2" w:rsidRPr="00EC22D1" w:rsidRDefault="005E66E2" w:rsidP="00C211DF">
            <w:pPr>
              <w:ind w:right="-127"/>
              <w:jc w:val="center"/>
              <w:rPr>
                <w:rFonts w:cs="Arial"/>
                <w:b/>
                <w:bCs/>
                <w:lang w:val="lv-LV"/>
              </w:rPr>
            </w:pPr>
            <w:r w:rsidRPr="00EC22D1">
              <w:rPr>
                <w:rFonts w:cs="Arial"/>
                <w:b/>
                <w:bCs/>
                <w:lang w:val="lv-LV"/>
              </w:rPr>
              <w:t>LK</w:t>
            </w:r>
          </w:p>
        </w:tc>
      </w:tr>
      <w:tr w:rsidR="005E66E2" w:rsidRPr="00EC22D1" w:rsidTr="00791B4C">
        <w:trPr>
          <w:trHeight w:val="506"/>
          <w:jc w:val="center"/>
        </w:trPr>
        <w:tc>
          <w:tcPr>
            <w:tcW w:w="960" w:type="dxa"/>
            <w:tcBorders>
              <w:top w:val="nil"/>
              <w:left w:val="single" w:sz="8" w:space="0" w:color="auto"/>
              <w:bottom w:val="single" w:sz="4" w:space="0" w:color="auto"/>
              <w:right w:val="single" w:sz="8" w:space="0" w:color="auto"/>
            </w:tcBorders>
            <w:shd w:val="clear" w:color="000000" w:fill="DDD9C3"/>
            <w:vAlign w:val="bottom"/>
            <w:hideMark/>
          </w:tcPr>
          <w:p w:rsidR="005E66E2" w:rsidRPr="00EC22D1" w:rsidRDefault="005E66E2" w:rsidP="00C211DF">
            <w:pPr>
              <w:ind w:right="-131"/>
              <w:jc w:val="center"/>
              <w:rPr>
                <w:rFonts w:cs="Arial"/>
                <w:lang w:val="lv-LV"/>
              </w:rPr>
            </w:pPr>
            <w:r w:rsidRPr="00EC22D1">
              <w:rPr>
                <w:rFonts w:cs="Arial"/>
                <w:lang w:val="lv-LV"/>
              </w:rPr>
              <w:t>DN</w:t>
            </w:r>
          </w:p>
        </w:tc>
        <w:tc>
          <w:tcPr>
            <w:tcW w:w="1343" w:type="dxa"/>
            <w:tcBorders>
              <w:top w:val="nil"/>
              <w:left w:val="nil"/>
              <w:bottom w:val="single" w:sz="4" w:space="0" w:color="auto"/>
              <w:right w:val="single" w:sz="4" w:space="0" w:color="auto"/>
            </w:tcBorders>
            <w:shd w:val="clear" w:color="000000" w:fill="DDD9C3"/>
            <w:vAlign w:val="bottom"/>
            <w:hideMark/>
          </w:tcPr>
          <w:p w:rsidR="005E66E2" w:rsidRPr="00EC22D1" w:rsidRDefault="005E66E2" w:rsidP="00C211DF">
            <w:pPr>
              <w:ind w:right="-131"/>
              <w:jc w:val="center"/>
              <w:rPr>
                <w:rFonts w:cs="Arial"/>
                <w:lang w:val="lv-LV"/>
              </w:rPr>
            </w:pPr>
            <w:r w:rsidRPr="00EC22D1">
              <w:rPr>
                <w:rFonts w:cs="Arial"/>
                <w:lang w:val="lv-LV"/>
              </w:rPr>
              <w:t>Projektā (ŪKT-1; 2)</w:t>
            </w:r>
          </w:p>
        </w:tc>
        <w:tc>
          <w:tcPr>
            <w:tcW w:w="1134" w:type="dxa"/>
            <w:tcBorders>
              <w:top w:val="nil"/>
              <w:left w:val="nil"/>
              <w:bottom w:val="single" w:sz="4" w:space="0" w:color="auto"/>
              <w:right w:val="single" w:sz="4" w:space="0" w:color="auto"/>
            </w:tcBorders>
            <w:shd w:val="clear" w:color="000000" w:fill="DDD9C3"/>
            <w:vAlign w:val="bottom"/>
            <w:hideMark/>
          </w:tcPr>
          <w:p w:rsidR="005E66E2" w:rsidRPr="00EC22D1" w:rsidRDefault="005E66E2" w:rsidP="00C211DF">
            <w:pPr>
              <w:ind w:right="-131"/>
              <w:jc w:val="center"/>
              <w:rPr>
                <w:rFonts w:cs="Arial"/>
                <w:lang w:val="lv-LV"/>
              </w:rPr>
            </w:pPr>
            <w:r w:rsidRPr="00EC22D1">
              <w:rPr>
                <w:rFonts w:cs="Arial"/>
                <w:lang w:val="lv-LV"/>
              </w:rPr>
              <w:t>Apjomu tabulā</w:t>
            </w:r>
          </w:p>
        </w:tc>
        <w:tc>
          <w:tcPr>
            <w:tcW w:w="1070" w:type="dxa"/>
            <w:tcBorders>
              <w:top w:val="nil"/>
              <w:left w:val="nil"/>
              <w:bottom w:val="single" w:sz="4" w:space="0" w:color="auto"/>
              <w:right w:val="single" w:sz="8" w:space="0" w:color="auto"/>
            </w:tcBorders>
            <w:shd w:val="clear" w:color="000000" w:fill="DDD9C3"/>
            <w:vAlign w:val="bottom"/>
            <w:hideMark/>
          </w:tcPr>
          <w:p w:rsidR="005E66E2" w:rsidRPr="00EC22D1" w:rsidRDefault="005E66E2" w:rsidP="00C211DF">
            <w:pPr>
              <w:ind w:right="-131"/>
              <w:jc w:val="center"/>
              <w:rPr>
                <w:rFonts w:cs="Arial"/>
                <w:lang w:val="lv-LV"/>
              </w:rPr>
            </w:pPr>
            <w:r w:rsidRPr="00EC22D1">
              <w:rPr>
                <w:rFonts w:cs="Arial"/>
                <w:lang w:val="lv-LV"/>
              </w:rPr>
              <w:t>Starpība</w:t>
            </w:r>
          </w:p>
        </w:tc>
      </w:tr>
      <w:tr w:rsidR="005E66E2" w:rsidRPr="00EC22D1" w:rsidTr="00791B4C">
        <w:trPr>
          <w:trHeight w:val="273"/>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5E66E2" w:rsidRPr="00EC22D1" w:rsidRDefault="005E66E2" w:rsidP="00C211DF">
            <w:pPr>
              <w:ind w:right="-131"/>
              <w:jc w:val="center"/>
              <w:rPr>
                <w:rFonts w:cs="Arial"/>
                <w:lang w:val="lv-LV"/>
              </w:rPr>
            </w:pPr>
            <w:r w:rsidRPr="00EC22D1">
              <w:rPr>
                <w:rFonts w:cs="Arial"/>
                <w:lang w:val="lv-LV"/>
              </w:rPr>
              <w:t>1000</w:t>
            </w:r>
          </w:p>
        </w:tc>
        <w:tc>
          <w:tcPr>
            <w:tcW w:w="1343"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C211DF">
            <w:pPr>
              <w:ind w:right="-131"/>
              <w:jc w:val="center"/>
              <w:rPr>
                <w:rFonts w:cs="Arial"/>
                <w:lang w:val="lv-LV"/>
              </w:rPr>
            </w:pPr>
            <w:r w:rsidRPr="00EC22D1">
              <w:rPr>
                <w:rFonts w:cs="Arial"/>
                <w:lang w:val="lv-LV"/>
              </w:rPr>
              <w:t>125</w:t>
            </w:r>
          </w:p>
        </w:tc>
        <w:tc>
          <w:tcPr>
            <w:tcW w:w="1134"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C211DF">
            <w:pPr>
              <w:ind w:right="-131"/>
              <w:jc w:val="center"/>
              <w:rPr>
                <w:rFonts w:cs="Arial"/>
                <w:lang w:val="lv-LV"/>
              </w:rPr>
            </w:pPr>
            <w:r w:rsidRPr="00EC22D1">
              <w:rPr>
                <w:rFonts w:cs="Arial"/>
                <w:lang w:val="lv-LV"/>
              </w:rPr>
              <w:t>135</w:t>
            </w:r>
          </w:p>
        </w:tc>
        <w:tc>
          <w:tcPr>
            <w:tcW w:w="1070" w:type="dxa"/>
            <w:tcBorders>
              <w:top w:val="nil"/>
              <w:left w:val="nil"/>
              <w:bottom w:val="single" w:sz="4" w:space="0" w:color="auto"/>
              <w:right w:val="single" w:sz="8" w:space="0" w:color="auto"/>
            </w:tcBorders>
            <w:shd w:val="clear" w:color="auto" w:fill="FFFF00"/>
            <w:noWrap/>
            <w:vAlign w:val="center"/>
            <w:hideMark/>
          </w:tcPr>
          <w:p w:rsidR="005E66E2" w:rsidRPr="00EC22D1" w:rsidRDefault="005E66E2" w:rsidP="00C211DF">
            <w:pPr>
              <w:ind w:right="-131"/>
              <w:jc w:val="center"/>
              <w:rPr>
                <w:rFonts w:cs="Arial"/>
                <w:b/>
                <w:bCs/>
                <w:lang w:val="lv-LV"/>
              </w:rPr>
            </w:pPr>
            <w:r w:rsidRPr="00EC22D1">
              <w:rPr>
                <w:rFonts w:cs="Arial"/>
                <w:b/>
                <w:bCs/>
                <w:lang w:val="lv-LV"/>
              </w:rPr>
              <w:t>10</w:t>
            </w:r>
          </w:p>
        </w:tc>
      </w:tr>
      <w:tr w:rsidR="005E66E2" w:rsidRPr="00EC22D1" w:rsidTr="00791B4C">
        <w:trPr>
          <w:trHeight w:val="255"/>
          <w:jc w:val="center"/>
        </w:trPr>
        <w:tc>
          <w:tcPr>
            <w:tcW w:w="960" w:type="dxa"/>
            <w:tcBorders>
              <w:top w:val="nil"/>
              <w:left w:val="single" w:sz="8" w:space="0" w:color="auto"/>
              <w:bottom w:val="single" w:sz="4" w:space="0" w:color="auto"/>
              <w:right w:val="single" w:sz="8" w:space="0" w:color="auto"/>
            </w:tcBorders>
            <w:shd w:val="clear" w:color="000000" w:fill="DDD9C3"/>
            <w:noWrap/>
            <w:vAlign w:val="center"/>
            <w:hideMark/>
          </w:tcPr>
          <w:p w:rsidR="005E66E2" w:rsidRPr="00EC22D1" w:rsidRDefault="005E66E2" w:rsidP="00C211DF">
            <w:pPr>
              <w:ind w:right="-131"/>
              <w:jc w:val="center"/>
              <w:rPr>
                <w:rFonts w:cs="Arial"/>
                <w:lang w:val="lv-LV"/>
              </w:rPr>
            </w:pPr>
            <w:r w:rsidRPr="00EC22D1">
              <w:rPr>
                <w:rFonts w:cs="Arial"/>
                <w:lang w:val="lv-LV"/>
              </w:rPr>
              <w:t>1500</w:t>
            </w:r>
          </w:p>
        </w:tc>
        <w:tc>
          <w:tcPr>
            <w:tcW w:w="1343"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C211DF">
            <w:pPr>
              <w:ind w:right="-131"/>
              <w:jc w:val="center"/>
              <w:rPr>
                <w:rFonts w:cs="Arial"/>
                <w:lang w:val="lv-LV"/>
              </w:rPr>
            </w:pPr>
            <w:r w:rsidRPr="00EC22D1">
              <w:rPr>
                <w:rFonts w:cs="Arial"/>
                <w:lang w:val="lv-LV"/>
              </w:rPr>
              <w:t>23</w:t>
            </w:r>
          </w:p>
        </w:tc>
        <w:tc>
          <w:tcPr>
            <w:tcW w:w="1134" w:type="dxa"/>
            <w:tcBorders>
              <w:top w:val="nil"/>
              <w:left w:val="nil"/>
              <w:bottom w:val="single" w:sz="4" w:space="0" w:color="auto"/>
              <w:right w:val="single" w:sz="4" w:space="0" w:color="auto"/>
            </w:tcBorders>
            <w:shd w:val="clear" w:color="auto" w:fill="auto"/>
            <w:noWrap/>
            <w:vAlign w:val="center"/>
            <w:hideMark/>
          </w:tcPr>
          <w:p w:rsidR="005E66E2" w:rsidRPr="00EC22D1" w:rsidRDefault="005E66E2" w:rsidP="00C211DF">
            <w:pPr>
              <w:ind w:right="-131"/>
              <w:jc w:val="center"/>
              <w:rPr>
                <w:rFonts w:cs="Arial"/>
                <w:lang w:val="lv-LV"/>
              </w:rPr>
            </w:pPr>
            <w:r w:rsidRPr="00EC22D1">
              <w:rPr>
                <w:rFonts w:cs="Arial"/>
                <w:lang w:val="lv-LV"/>
              </w:rPr>
              <w:t>14</w:t>
            </w:r>
          </w:p>
        </w:tc>
        <w:tc>
          <w:tcPr>
            <w:tcW w:w="1070" w:type="dxa"/>
            <w:tcBorders>
              <w:top w:val="nil"/>
              <w:left w:val="nil"/>
              <w:bottom w:val="single" w:sz="4" w:space="0" w:color="auto"/>
              <w:right w:val="single" w:sz="8" w:space="0" w:color="auto"/>
            </w:tcBorders>
            <w:shd w:val="clear" w:color="auto" w:fill="FFFF00"/>
            <w:noWrap/>
            <w:vAlign w:val="center"/>
            <w:hideMark/>
          </w:tcPr>
          <w:p w:rsidR="005E66E2" w:rsidRPr="00EC22D1" w:rsidRDefault="005E66E2" w:rsidP="00C211DF">
            <w:pPr>
              <w:ind w:right="-131"/>
              <w:jc w:val="center"/>
              <w:rPr>
                <w:rFonts w:cs="Arial"/>
                <w:b/>
                <w:bCs/>
                <w:color w:val="FF0000"/>
                <w:lang w:val="lv-LV"/>
              </w:rPr>
            </w:pPr>
            <w:r w:rsidRPr="00EC22D1">
              <w:rPr>
                <w:rFonts w:cs="Arial"/>
                <w:b/>
                <w:bCs/>
                <w:color w:val="FF0000"/>
                <w:lang w:val="lv-LV"/>
              </w:rPr>
              <w:t>-9</w:t>
            </w:r>
          </w:p>
        </w:tc>
      </w:tr>
      <w:tr w:rsidR="005E66E2" w:rsidRPr="00EC22D1" w:rsidTr="00791B4C">
        <w:trPr>
          <w:trHeight w:val="329"/>
          <w:jc w:val="center"/>
        </w:trPr>
        <w:tc>
          <w:tcPr>
            <w:tcW w:w="960" w:type="dxa"/>
            <w:tcBorders>
              <w:top w:val="nil"/>
              <w:left w:val="single" w:sz="8" w:space="0" w:color="auto"/>
              <w:bottom w:val="single" w:sz="8" w:space="0" w:color="auto"/>
              <w:right w:val="single" w:sz="8" w:space="0" w:color="auto"/>
            </w:tcBorders>
            <w:shd w:val="clear" w:color="000000" w:fill="DDD9C3"/>
            <w:noWrap/>
            <w:vAlign w:val="center"/>
            <w:hideMark/>
          </w:tcPr>
          <w:p w:rsidR="005E66E2" w:rsidRPr="00EC22D1" w:rsidRDefault="005E66E2" w:rsidP="00C211DF">
            <w:pPr>
              <w:ind w:right="-131"/>
              <w:jc w:val="center"/>
              <w:rPr>
                <w:rFonts w:cs="Arial"/>
                <w:lang w:val="lv-LV"/>
              </w:rPr>
            </w:pPr>
            <w:r w:rsidRPr="00EC22D1">
              <w:rPr>
                <w:rFonts w:cs="Arial"/>
                <w:lang w:val="lv-LV"/>
              </w:rPr>
              <w:t>2000</w:t>
            </w:r>
          </w:p>
        </w:tc>
        <w:tc>
          <w:tcPr>
            <w:tcW w:w="1343" w:type="dxa"/>
            <w:tcBorders>
              <w:top w:val="nil"/>
              <w:left w:val="nil"/>
              <w:bottom w:val="single" w:sz="8" w:space="0" w:color="auto"/>
              <w:right w:val="single" w:sz="4" w:space="0" w:color="auto"/>
            </w:tcBorders>
            <w:shd w:val="clear" w:color="auto" w:fill="auto"/>
            <w:noWrap/>
            <w:vAlign w:val="center"/>
            <w:hideMark/>
          </w:tcPr>
          <w:p w:rsidR="005E66E2" w:rsidRPr="00EC22D1" w:rsidRDefault="005E66E2" w:rsidP="00C211DF">
            <w:pPr>
              <w:ind w:right="-131"/>
              <w:jc w:val="center"/>
              <w:rPr>
                <w:rFonts w:cs="Arial"/>
                <w:lang w:val="lv-LV"/>
              </w:rPr>
            </w:pPr>
            <w:r w:rsidRPr="00EC22D1">
              <w:rPr>
                <w:rFonts w:cs="Arial"/>
                <w:lang w:val="lv-LV"/>
              </w:rPr>
              <w:t>13</w:t>
            </w:r>
          </w:p>
        </w:tc>
        <w:tc>
          <w:tcPr>
            <w:tcW w:w="1134" w:type="dxa"/>
            <w:tcBorders>
              <w:top w:val="nil"/>
              <w:left w:val="nil"/>
              <w:bottom w:val="single" w:sz="8" w:space="0" w:color="auto"/>
              <w:right w:val="single" w:sz="4" w:space="0" w:color="auto"/>
            </w:tcBorders>
            <w:shd w:val="clear" w:color="auto" w:fill="auto"/>
            <w:noWrap/>
            <w:vAlign w:val="center"/>
            <w:hideMark/>
          </w:tcPr>
          <w:p w:rsidR="005E66E2" w:rsidRPr="00EC22D1" w:rsidRDefault="005E66E2" w:rsidP="00C211DF">
            <w:pPr>
              <w:ind w:right="-131"/>
              <w:jc w:val="center"/>
              <w:rPr>
                <w:rFonts w:cs="Arial"/>
                <w:lang w:val="lv-LV"/>
              </w:rPr>
            </w:pPr>
            <w:r w:rsidRPr="00EC22D1">
              <w:rPr>
                <w:rFonts w:cs="Arial"/>
                <w:lang w:val="lv-LV"/>
              </w:rPr>
              <w:t>12</w:t>
            </w:r>
          </w:p>
        </w:tc>
        <w:tc>
          <w:tcPr>
            <w:tcW w:w="1070" w:type="dxa"/>
            <w:tcBorders>
              <w:top w:val="nil"/>
              <w:left w:val="nil"/>
              <w:bottom w:val="single" w:sz="8" w:space="0" w:color="auto"/>
              <w:right w:val="single" w:sz="8" w:space="0" w:color="auto"/>
            </w:tcBorders>
            <w:shd w:val="clear" w:color="auto" w:fill="FFFF00"/>
            <w:noWrap/>
            <w:vAlign w:val="center"/>
            <w:hideMark/>
          </w:tcPr>
          <w:p w:rsidR="005E66E2" w:rsidRPr="00EC22D1" w:rsidRDefault="005E66E2" w:rsidP="00C211DF">
            <w:pPr>
              <w:ind w:right="-131"/>
              <w:jc w:val="center"/>
              <w:rPr>
                <w:rFonts w:cs="Arial"/>
                <w:b/>
                <w:bCs/>
                <w:color w:val="FF0000"/>
                <w:lang w:val="lv-LV"/>
              </w:rPr>
            </w:pPr>
            <w:r w:rsidRPr="00EC22D1">
              <w:rPr>
                <w:rFonts w:cs="Arial"/>
                <w:b/>
                <w:bCs/>
                <w:color w:val="FF0000"/>
                <w:lang w:val="lv-LV"/>
              </w:rPr>
              <w:t>-1</w:t>
            </w:r>
          </w:p>
        </w:tc>
      </w:tr>
    </w:tbl>
    <w:p w:rsidR="005E66E2" w:rsidRPr="00EC22D1" w:rsidRDefault="005E66E2" w:rsidP="005E66E2">
      <w:pPr>
        <w:ind w:right="-908"/>
        <w:rPr>
          <w:lang w:val="lv-LV"/>
        </w:rPr>
      </w:pPr>
    </w:p>
    <w:p w:rsidR="00DA676B" w:rsidRDefault="00DA676B" w:rsidP="005E66E2">
      <w:pPr>
        <w:ind w:right="-908"/>
        <w:rPr>
          <w:b/>
          <w:i/>
          <w:u w:val="single"/>
          <w:lang w:val="lv-LV"/>
        </w:rPr>
      </w:pPr>
    </w:p>
    <w:p w:rsidR="005E66E2" w:rsidRPr="00EC22D1" w:rsidRDefault="00C211DF" w:rsidP="005E66E2">
      <w:pPr>
        <w:ind w:right="-908"/>
        <w:rPr>
          <w:b/>
          <w:i/>
          <w:u w:val="single"/>
          <w:lang w:val="lv-LV"/>
        </w:rPr>
      </w:pPr>
      <w:r w:rsidRPr="00EC22D1">
        <w:rPr>
          <w:b/>
          <w:i/>
          <w:u w:val="single"/>
          <w:lang w:val="lv-LV"/>
        </w:rPr>
        <w:lastRenderedPageBreak/>
        <w:t>Atbilde:</w:t>
      </w:r>
    </w:p>
    <w:p w:rsidR="00C211DF" w:rsidRPr="004E2D2F" w:rsidRDefault="00A24E16" w:rsidP="005E66E2">
      <w:pPr>
        <w:ind w:right="-908"/>
        <w:rPr>
          <w:lang w:val="lv-LV"/>
        </w:rPr>
      </w:pPr>
      <w:r w:rsidRPr="00352957">
        <w:t xml:space="preserve">ŪKT-1-1 1/2 </w:t>
      </w:r>
      <w:proofErr w:type="gramStart"/>
      <w:r w:rsidRPr="00352957">
        <w:t>un</w:t>
      </w:r>
      <w:proofErr w:type="gramEnd"/>
      <w:r w:rsidRPr="00352957">
        <w:t xml:space="preserve"> 2/2 </w:t>
      </w:r>
      <w:r w:rsidRPr="004E2D2F">
        <w:rPr>
          <w:lang w:val="lv-LV"/>
        </w:rPr>
        <w:t xml:space="preserve">lapās nav norādīti aku diametri. </w:t>
      </w:r>
      <w:proofErr w:type="spellStart"/>
      <w:r w:rsidRPr="004E2D2F">
        <w:rPr>
          <w:lang w:val="lv-LV"/>
        </w:rPr>
        <w:t>Apojomi</w:t>
      </w:r>
      <w:proofErr w:type="spellEnd"/>
      <w:r w:rsidRPr="004E2D2F">
        <w:rPr>
          <w:lang w:val="lv-LV"/>
        </w:rPr>
        <w:t xml:space="preserve"> projektā norādīti pareizi</w:t>
      </w:r>
      <w:r w:rsidRPr="004E2D2F">
        <w:rPr>
          <w:lang w:val="lv-LV"/>
        </w:rPr>
        <w:t>.</w:t>
      </w:r>
    </w:p>
    <w:p w:rsidR="00A24E16" w:rsidRPr="004E2D2F" w:rsidRDefault="00A24E16" w:rsidP="005E66E2">
      <w:pPr>
        <w:ind w:right="-908"/>
        <w:rPr>
          <w:lang w:val="lv-LV"/>
        </w:rPr>
      </w:pPr>
    </w:p>
    <w:p w:rsidR="005E66E2" w:rsidRPr="004E2D2F" w:rsidRDefault="00C211DF" w:rsidP="005E66E2">
      <w:pPr>
        <w:ind w:right="-908"/>
        <w:jc w:val="both"/>
        <w:rPr>
          <w:lang w:val="lv-LV"/>
        </w:rPr>
      </w:pPr>
      <w:r w:rsidRPr="004E2D2F">
        <w:rPr>
          <w:b/>
          <w:i/>
          <w:u w:val="single"/>
          <w:lang w:val="lv-LV"/>
        </w:rPr>
        <w:t>6</w:t>
      </w:r>
      <w:r w:rsidR="005E66E2" w:rsidRPr="004E2D2F">
        <w:rPr>
          <w:b/>
          <w:i/>
          <w:u w:val="single"/>
          <w:lang w:val="lv-LV"/>
        </w:rPr>
        <w:t>.Jautājums:</w:t>
      </w:r>
      <w:r w:rsidR="005E66E2" w:rsidRPr="004E2D2F">
        <w:rPr>
          <w:lang w:val="lv-LV"/>
        </w:rPr>
        <w:t xml:space="preserve"> </w:t>
      </w:r>
      <w:r w:rsidR="005E66E2" w:rsidRPr="004E2D2F">
        <w:rPr>
          <w:lang w:val="lv-LV"/>
        </w:rPr>
        <w:t xml:space="preserve">Lūdzam precizēt, kurš no </w:t>
      </w:r>
      <w:proofErr w:type="spellStart"/>
      <w:r w:rsidR="005E66E2" w:rsidRPr="004E2D2F">
        <w:rPr>
          <w:lang w:val="lv-LV"/>
        </w:rPr>
        <w:t>apvedcauruļu</w:t>
      </w:r>
      <w:proofErr w:type="spellEnd"/>
      <w:r w:rsidR="005E66E2" w:rsidRPr="004E2D2F">
        <w:rPr>
          <w:lang w:val="lv-LV"/>
        </w:rPr>
        <w:t xml:space="preserve"> risinājumiem un </w:t>
      </w:r>
      <w:proofErr w:type="spellStart"/>
      <w:r w:rsidR="005E66E2" w:rsidRPr="004E2D2F">
        <w:rPr>
          <w:lang w:val="lv-LV"/>
        </w:rPr>
        <w:t>skatakām</w:t>
      </w:r>
      <w:proofErr w:type="spellEnd"/>
      <w:r w:rsidR="005E66E2" w:rsidRPr="004E2D2F">
        <w:rPr>
          <w:lang w:val="lv-LV"/>
        </w:rPr>
        <w:t xml:space="preserve"> </w:t>
      </w:r>
      <w:proofErr w:type="spellStart"/>
      <w:r w:rsidR="005E66E2" w:rsidRPr="004E2D2F">
        <w:rPr>
          <w:lang w:val="lv-LV"/>
        </w:rPr>
        <w:t>apvedcaurulei</w:t>
      </w:r>
      <w:proofErr w:type="spellEnd"/>
      <w:r w:rsidR="005E66E2" w:rsidRPr="004E2D2F">
        <w:rPr>
          <w:lang w:val="lv-LV"/>
        </w:rPr>
        <w:t xml:space="preserve"> ir pareizs, jo tehniskā projekta lapās ŪKT1; 2 gan LK1; LK2; LK3 trasēm NAI </w:t>
      </w:r>
      <w:proofErr w:type="spellStart"/>
      <w:r w:rsidR="005E66E2" w:rsidRPr="004E2D2F">
        <w:rPr>
          <w:lang w:val="lv-LV"/>
        </w:rPr>
        <w:t>apvedcauruļu</w:t>
      </w:r>
      <w:proofErr w:type="spellEnd"/>
      <w:r w:rsidR="005E66E2" w:rsidRPr="004E2D2F">
        <w:rPr>
          <w:lang w:val="lv-LV"/>
        </w:rPr>
        <w:t xml:space="preserve"> risinājumi ir atšķirīgi, gan pēc caurules diametra, gan izmantoto </w:t>
      </w:r>
      <w:proofErr w:type="spellStart"/>
      <w:r w:rsidR="005E66E2" w:rsidRPr="004E2D2F">
        <w:rPr>
          <w:lang w:val="lv-LV"/>
        </w:rPr>
        <w:t>skataku</w:t>
      </w:r>
      <w:proofErr w:type="spellEnd"/>
      <w:r w:rsidR="005E66E2" w:rsidRPr="004E2D2F">
        <w:rPr>
          <w:lang w:val="lv-LV"/>
        </w:rPr>
        <w:t xml:space="preserve"> diametra, atbilstoši labojot specifikācijas apjomus.</w:t>
      </w:r>
    </w:p>
    <w:p w:rsidR="005E66E2" w:rsidRPr="004E2D2F" w:rsidRDefault="005E66E2" w:rsidP="00352957">
      <w:pPr>
        <w:spacing w:line="276" w:lineRule="auto"/>
        <w:ind w:right="-907"/>
        <w:rPr>
          <w:b/>
          <w:i/>
          <w:u w:val="single"/>
          <w:lang w:val="lv-LV"/>
        </w:rPr>
      </w:pPr>
      <w:r w:rsidRPr="004E2D2F">
        <w:rPr>
          <w:b/>
          <w:i/>
          <w:u w:val="single"/>
          <w:lang w:val="lv-LV"/>
        </w:rPr>
        <w:t>Atbilde:</w:t>
      </w:r>
    </w:p>
    <w:p w:rsidR="00A24E16" w:rsidRPr="004E2D2F" w:rsidRDefault="00A24E16" w:rsidP="005E66E2">
      <w:pPr>
        <w:spacing w:after="200" w:line="276" w:lineRule="auto"/>
        <w:ind w:right="-908"/>
        <w:rPr>
          <w:i/>
          <w:u w:val="single"/>
          <w:lang w:val="lv-LV"/>
        </w:rPr>
      </w:pPr>
      <w:r w:rsidRPr="004E2D2F">
        <w:rPr>
          <w:lang w:val="lv-LV"/>
        </w:rPr>
        <w:t xml:space="preserve">Visi </w:t>
      </w:r>
      <w:proofErr w:type="spellStart"/>
      <w:r w:rsidRPr="004E2D2F">
        <w:rPr>
          <w:lang w:val="lv-LV"/>
        </w:rPr>
        <w:t>apvedcauruļu</w:t>
      </w:r>
      <w:proofErr w:type="spellEnd"/>
      <w:r w:rsidRPr="004E2D2F">
        <w:rPr>
          <w:lang w:val="lv-LV"/>
        </w:rPr>
        <w:t xml:space="preserve"> risinājumi ir pareizi. Apjomi norādīti pareizi</w:t>
      </w:r>
      <w:r w:rsidRPr="004E2D2F">
        <w:rPr>
          <w:lang w:val="lv-LV"/>
        </w:rPr>
        <w:t>.</w:t>
      </w:r>
    </w:p>
    <w:p w:rsidR="005E66E2" w:rsidRPr="00EC22D1" w:rsidRDefault="00C211DF" w:rsidP="005E66E2">
      <w:pPr>
        <w:ind w:right="-908"/>
        <w:jc w:val="both"/>
        <w:rPr>
          <w:lang w:val="lv-LV"/>
        </w:rPr>
      </w:pPr>
      <w:r w:rsidRPr="00EC22D1">
        <w:rPr>
          <w:b/>
          <w:i/>
          <w:u w:val="single"/>
          <w:lang w:val="lv-LV"/>
        </w:rPr>
        <w:t>7</w:t>
      </w:r>
      <w:r w:rsidR="005E66E2" w:rsidRPr="00EC22D1">
        <w:rPr>
          <w:b/>
          <w:i/>
          <w:u w:val="single"/>
          <w:lang w:val="lv-LV"/>
        </w:rPr>
        <w:t>.Jautājums:</w:t>
      </w:r>
      <w:r w:rsidR="005E66E2" w:rsidRPr="00EC22D1">
        <w:rPr>
          <w:b/>
          <w:i/>
          <w:lang w:val="lv-LV"/>
        </w:rPr>
        <w:t xml:space="preserve"> </w:t>
      </w:r>
      <w:r w:rsidR="005E66E2" w:rsidRPr="00EC22D1">
        <w:rPr>
          <w:lang w:val="lv-LV"/>
        </w:rPr>
        <w:t>Lūdzam skaidrot, kurā pozīcijā apjomos ir iekļauta LK3-22 ar izbūves dziļumu apt.4,5m DN1000, nepieciešamības gadījumā koriģēt specifikāciju.</w:t>
      </w:r>
    </w:p>
    <w:p w:rsidR="005E66E2" w:rsidRDefault="005E66E2" w:rsidP="005E66E2">
      <w:pPr>
        <w:pStyle w:val="ListParagraph"/>
        <w:ind w:left="0" w:right="-908"/>
        <w:jc w:val="both"/>
        <w:rPr>
          <w:rFonts w:ascii="Times New Roman" w:hAnsi="Times New Roman" w:cs="Times New Roman"/>
          <w:b/>
          <w:i/>
          <w:sz w:val="24"/>
          <w:szCs w:val="24"/>
          <w:u w:val="single"/>
        </w:rPr>
      </w:pPr>
      <w:r w:rsidRPr="00EC22D1">
        <w:rPr>
          <w:rFonts w:ascii="Times New Roman" w:hAnsi="Times New Roman" w:cs="Times New Roman"/>
          <w:b/>
          <w:i/>
          <w:sz w:val="24"/>
          <w:szCs w:val="24"/>
          <w:u w:val="single"/>
        </w:rPr>
        <w:t>Atbilde:</w:t>
      </w:r>
    </w:p>
    <w:p w:rsidR="00A24E16" w:rsidRPr="00352957" w:rsidRDefault="00C4344B" w:rsidP="005E66E2">
      <w:pPr>
        <w:pStyle w:val="ListParagraph"/>
        <w:ind w:left="0" w:right="-908"/>
        <w:jc w:val="both"/>
        <w:rPr>
          <w:rFonts w:ascii="Times New Roman" w:hAnsi="Times New Roman" w:cs="Times New Roman"/>
          <w:i/>
          <w:sz w:val="24"/>
          <w:szCs w:val="24"/>
          <w:u w:val="single"/>
        </w:rPr>
      </w:pPr>
      <w:proofErr w:type="spellStart"/>
      <w:r w:rsidRPr="00352957">
        <w:rPr>
          <w:rFonts w:ascii="Times New Roman" w:hAnsi="Times New Roman" w:cs="Times New Roman"/>
          <w:sz w:val="24"/>
          <w:szCs w:val="24"/>
        </w:rPr>
        <w:t>Garenprofila</w:t>
      </w:r>
      <w:proofErr w:type="spellEnd"/>
      <w:r w:rsidRPr="00352957">
        <w:rPr>
          <w:rFonts w:ascii="Times New Roman" w:hAnsi="Times New Roman" w:cs="Times New Roman"/>
          <w:sz w:val="24"/>
          <w:szCs w:val="24"/>
        </w:rPr>
        <w:t xml:space="preserve"> apzīmējumā kļūda, Akas diametrs DN1500, dziļums līdz 4.0m, apjoms ieskaitīts tāmes Nr. 1 pozīcijā (Atmodas iela) 2.19 "</w:t>
      </w:r>
      <w:r w:rsidRPr="00352957">
        <w:t xml:space="preserve"> </w:t>
      </w:r>
      <w:r w:rsidRPr="00352957">
        <w:rPr>
          <w:rFonts w:ascii="Times New Roman" w:hAnsi="Times New Roman" w:cs="Times New Roman"/>
          <w:sz w:val="24"/>
          <w:szCs w:val="24"/>
        </w:rPr>
        <w:t xml:space="preserve">Saliekamā </w:t>
      </w:r>
      <w:proofErr w:type="spellStart"/>
      <w:r w:rsidRPr="00352957">
        <w:rPr>
          <w:rFonts w:ascii="Times New Roman" w:hAnsi="Times New Roman" w:cs="Times New Roman"/>
          <w:sz w:val="24"/>
          <w:szCs w:val="24"/>
        </w:rPr>
        <w:t>dzelzbetona</w:t>
      </w:r>
      <w:proofErr w:type="spellEnd"/>
      <w:r w:rsidRPr="00352957">
        <w:rPr>
          <w:rFonts w:ascii="Times New Roman" w:hAnsi="Times New Roman" w:cs="Times New Roman"/>
          <w:sz w:val="24"/>
          <w:szCs w:val="24"/>
        </w:rPr>
        <w:t xml:space="preserve"> elementu grodu aka DN1500 mm montāža ar akas pamatni, grodiem, grodu pārseguma vāku, </w:t>
      </w:r>
      <w:proofErr w:type="spellStart"/>
      <w:r w:rsidRPr="00352957">
        <w:rPr>
          <w:rFonts w:ascii="Times New Roman" w:hAnsi="Times New Roman" w:cs="Times New Roman"/>
          <w:sz w:val="24"/>
          <w:szCs w:val="24"/>
        </w:rPr>
        <w:t>aizsargčaulām</w:t>
      </w:r>
      <w:proofErr w:type="spellEnd"/>
      <w:r w:rsidRPr="00352957">
        <w:rPr>
          <w:rFonts w:ascii="Times New Roman" w:hAnsi="Times New Roman" w:cs="Times New Roman"/>
          <w:sz w:val="24"/>
          <w:szCs w:val="24"/>
        </w:rPr>
        <w:t xml:space="preserve">, betonu, </w:t>
      </w:r>
      <w:proofErr w:type="spellStart"/>
      <w:r w:rsidRPr="00352957">
        <w:rPr>
          <w:rFonts w:ascii="Times New Roman" w:hAnsi="Times New Roman" w:cs="Times New Roman"/>
          <w:sz w:val="24"/>
          <w:szCs w:val="24"/>
        </w:rPr>
        <w:t>kāpšliem</w:t>
      </w:r>
      <w:proofErr w:type="spellEnd"/>
      <w:r w:rsidRPr="00352957">
        <w:rPr>
          <w:rFonts w:ascii="Times New Roman" w:hAnsi="Times New Roman" w:cs="Times New Roman"/>
          <w:sz w:val="24"/>
          <w:szCs w:val="24"/>
        </w:rPr>
        <w:t xml:space="preserve"> un "peldoša" tipa </w:t>
      </w:r>
      <w:proofErr w:type="spellStart"/>
      <w:r w:rsidRPr="00352957">
        <w:rPr>
          <w:rFonts w:ascii="Times New Roman" w:hAnsi="Times New Roman" w:cs="Times New Roman"/>
          <w:sz w:val="24"/>
          <w:szCs w:val="24"/>
        </w:rPr>
        <w:t>ķeta</w:t>
      </w:r>
      <w:proofErr w:type="spellEnd"/>
      <w:r w:rsidRPr="00352957">
        <w:rPr>
          <w:rFonts w:ascii="Times New Roman" w:hAnsi="Times New Roman" w:cs="Times New Roman"/>
          <w:sz w:val="24"/>
          <w:szCs w:val="24"/>
        </w:rPr>
        <w:t xml:space="preserve"> akas vāku 40 t, </w:t>
      </w:r>
      <w:proofErr w:type="spellStart"/>
      <w:r w:rsidRPr="00352957">
        <w:rPr>
          <w:rFonts w:ascii="Times New Roman" w:hAnsi="Times New Roman" w:cs="Times New Roman"/>
          <w:sz w:val="24"/>
          <w:szCs w:val="24"/>
        </w:rPr>
        <w:t>iebūves</w:t>
      </w:r>
      <w:proofErr w:type="spellEnd"/>
      <w:r w:rsidRPr="00352957">
        <w:rPr>
          <w:rFonts w:ascii="Times New Roman" w:hAnsi="Times New Roman" w:cs="Times New Roman"/>
          <w:sz w:val="24"/>
          <w:szCs w:val="24"/>
        </w:rPr>
        <w:t xml:space="preserve"> dziļums H līdz 4.0 m"</w:t>
      </w:r>
      <w:r w:rsidRPr="00352957">
        <w:rPr>
          <w:rFonts w:ascii="Times New Roman" w:hAnsi="Times New Roman" w:cs="Times New Roman"/>
          <w:sz w:val="24"/>
          <w:szCs w:val="24"/>
        </w:rPr>
        <w:t>.</w:t>
      </w:r>
    </w:p>
    <w:p w:rsidR="005E66E2" w:rsidRPr="00EC22D1" w:rsidRDefault="00C211DF" w:rsidP="005E66E2">
      <w:pPr>
        <w:ind w:right="-908"/>
        <w:jc w:val="both"/>
        <w:rPr>
          <w:lang w:val="lv-LV"/>
        </w:rPr>
      </w:pPr>
      <w:r w:rsidRPr="00EC22D1">
        <w:rPr>
          <w:b/>
          <w:i/>
          <w:u w:val="single"/>
          <w:lang w:val="lv-LV"/>
        </w:rPr>
        <w:t>8</w:t>
      </w:r>
      <w:r w:rsidR="005E66E2" w:rsidRPr="00EC22D1">
        <w:rPr>
          <w:b/>
          <w:i/>
          <w:u w:val="single"/>
          <w:lang w:val="lv-LV"/>
        </w:rPr>
        <w:t>.Jautājums:</w:t>
      </w:r>
      <w:r w:rsidR="005E66E2" w:rsidRPr="00EC22D1">
        <w:rPr>
          <w:lang w:val="lv-LV"/>
        </w:rPr>
        <w:t xml:space="preserve"> </w:t>
      </w:r>
      <w:r w:rsidR="005E66E2" w:rsidRPr="00EC22D1">
        <w:rPr>
          <w:lang w:val="lv-LV"/>
        </w:rPr>
        <w:t xml:space="preserve">Papildināt informāciju iekļaujot </w:t>
      </w:r>
      <w:proofErr w:type="spellStart"/>
      <w:r w:rsidR="005E66E2" w:rsidRPr="00EC22D1">
        <w:rPr>
          <w:lang w:val="lv-LV"/>
        </w:rPr>
        <w:t>garenprofilus</w:t>
      </w:r>
      <w:proofErr w:type="spellEnd"/>
      <w:r w:rsidR="005E66E2" w:rsidRPr="00EC22D1">
        <w:rPr>
          <w:lang w:val="lv-LV"/>
        </w:rPr>
        <w:t xml:space="preserve"> posmiem LK1-17 - LK1-47 un </w:t>
      </w:r>
      <w:r w:rsidR="005E66E2" w:rsidRPr="00EC22D1">
        <w:rPr>
          <w:lang w:val="lv-LV"/>
        </w:rPr>
        <w:br/>
        <w:t>LK1-24.1 - LK1-24.</w:t>
      </w:r>
    </w:p>
    <w:p w:rsidR="005E66E2" w:rsidRPr="00EC22D1" w:rsidRDefault="005E66E2" w:rsidP="005E66E2">
      <w:pPr>
        <w:ind w:right="-908"/>
        <w:jc w:val="both"/>
        <w:rPr>
          <w:b/>
          <w:i/>
          <w:u w:val="single"/>
          <w:lang w:val="lv-LV"/>
        </w:rPr>
      </w:pPr>
      <w:r w:rsidRPr="00EC22D1">
        <w:rPr>
          <w:b/>
          <w:i/>
          <w:u w:val="single"/>
          <w:lang w:val="lv-LV"/>
        </w:rPr>
        <w:t>Atbilde:</w:t>
      </w:r>
    </w:p>
    <w:p w:rsidR="005E66E2" w:rsidRPr="00352957" w:rsidRDefault="00680648" w:rsidP="005E66E2">
      <w:pPr>
        <w:pStyle w:val="ListParagraph"/>
        <w:ind w:left="0" w:right="-908"/>
        <w:jc w:val="both"/>
        <w:rPr>
          <w:rFonts w:ascii="Times New Roman" w:hAnsi="Times New Roman" w:cs="Times New Roman"/>
          <w:sz w:val="24"/>
          <w:szCs w:val="24"/>
        </w:rPr>
      </w:pPr>
      <w:proofErr w:type="spellStart"/>
      <w:r w:rsidRPr="00352957">
        <w:rPr>
          <w:rFonts w:ascii="Times New Roman" w:hAnsi="Times New Roman" w:cs="Times New Roman"/>
          <w:sz w:val="24"/>
          <w:szCs w:val="24"/>
        </w:rPr>
        <w:t>Garenprofili</w:t>
      </w:r>
      <w:proofErr w:type="spellEnd"/>
      <w:r w:rsidRPr="00352957">
        <w:rPr>
          <w:rFonts w:ascii="Times New Roman" w:hAnsi="Times New Roman" w:cs="Times New Roman"/>
          <w:sz w:val="24"/>
          <w:szCs w:val="24"/>
        </w:rPr>
        <w:t xml:space="preserve"> minētajiem posmiem nav nepieciešami.</w:t>
      </w:r>
    </w:p>
    <w:p w:rsidR="00C4344B" w:rsidRPr="00EC22D1" w:rsidRDefault="00C4344B" w:rsidP="005E66E2">
      <w:pPr>
        <w:pStyle w:val="ListParagraph"/>
        <w:ind w:left="0" w:right="-908"/>
        <w:jc w:val="both"/>
        <w:rPr>
          <w:rFonts w:ascii="Times New Roman" w:hAnsi="Times New Roman" w:cs="Times New Roman"/>
          <w:sz w:val="24"/>
          <w:szCs w:val="24"/>
        </w:rPr>
      </w:pPr>
    </w:p>
    <w:p w:rsidR="005E66E2" w:rsidRPr="00EC22D1" w:rsidRDefault="00C211DF" w:rsidP="00352957">
      <w:pPr>
        <w:pStyle w:val="ListParagraph"/>
        <w:spacing w:after="0"/>
        <w:ind w:left="0" w:right="-907"/>
        <w:jc w:val="both"/>
        <w:rPr>
          <w:rFonts w:ascii="Times New Roman" w:hAnsi="Times New Roman" w:cs="Times New Roman"/>
          <w:sz w:val="24"/>
          <w:szCs w:val="24"/>
        </w:rPr>
      </w:pPr>
      <w:r w:rsidRPr="00EC22D1">
        <w:rPr>
          <w:rFonts w:ascii="Times New Roman" w:hAnsi="Times New Roman" w:cs="Times New Roman"/>
          <w:b/>
          <w:i/>
          <w:sz w:val="24"/>
          <w:szCs w:val="24"/>
          <w:u w:val="single"/>
        </w:rPr>
        <w:t>9</w:t>
      </w:r>
      <w:r w:rsidR="005E66E2" w:rsidRPr="00EC22D1">
        <w:rPr>
          <w:rFonts w:ascii="Times New Roman" w:hAnsi="Times New Roman" w:cs="Times New Roman"/>
          <w:b/>
          <w:i/>
          <w:sz w:val="24"/>
          <w:szCs w:val="24"/>
          <w:u w:val="single"/>
        </w:rPr>
        <w:t>.Jautājums:</w:t>
      </w:r>
      <w:r w:rsidR="005E66E2" w:rsidRPr="00EC22D1">
        <w:rPr>
          <w:rFonts w:ascii="Times New Roman" w:hAnsi="Times New Roman" w:cs="Times New Roman"/>
          <w:b/>
          <w:i/>
          <w:sz w:val="24"/>
          <w:szCs w:val="24"/>
        </w:rPr>
        <w:t xml:space="preserve"> </w:t>
      </w:r>
      <w:r w:rsidR="005E66E2" w:rsidRPr="00EC22D1">
        <w:rPr>
          <w:rFonts w:ascii="Times New Roman" w:hAnsi="Times New Roman" w:cs="Times New Roman"/>
          <w:sz w:val="24"/>
          <w:szCs w:val="24"/>
        </w:rPr>
        <w:t xml:space="preserve">Aicinām ieviest pozīciju „Ūdensvada DCI caurule DN250, PN 10, </w:t>
      </w:r>
      <w:proofErr w:type="spellStart"/>
      <w:r w:rsidR="005E66E2" w:rsidRPr="00EC22D1">
        <w:rPr>
          <w:rFonts w:ascii="Times New Roman" w:hAnsi="Times New Roman" w:cs="Times New Roman"/>
          <w:sz w:val="24"/>
          <w:szCs w:val="24"/>
        </w:rPr>
        <w:t>iebūves</w:t>
      </w:r>
      <w:proofErr w:type="spellEnd"/>
      <w:r w:rsidR="005E66E2" w:rsidRPr="00EC22D1">
        <w:rPr>
          <w:rFonts w:ascii="Times New Roman" w:hAnsi="Times New Roman" w:cs="Times New Roman"/>
          <w:sz w:val="24"/>
          <w:szCs w:val="24"/>
        </w:rPr>
        <w:t xml:space="preserve"> dziļums H līdz 2.2m” un noteikt nepieciešamo apjomu, jo tehniskā projekta lapā ĢP-1 1/2 redzams, ka izbūvējot U1-1; U1-18 būs jāizbūvē šīs caurules posmi.</w:t>
      </w:r>
    </w:p>
    <w:p w:rsidR="005E66E2" w:rsidRPr="00EC22D1" w:rsidRDefault="005E66E2" w:rsidP="005E66E2">
      <w:pPr>
        <w:ind w:right="-908"/>
        <w:jc w:val="both"/>
        <w:rPr>
          <w:b/>
          <w:i/>
          <w:u w:val="single"/>
          <w:lang w:val="lv-LV"/>
        </w:rPr>
      </w:pPr>
      <w:r w:rsidRPr="00EC22D1">
        <w:rPr>
          <w:b/>
          <w:i/>
          <w:u w:val="single"/>
          <w:lang w:val="lv-LV"/>
        </w:rPr>
        <w:t>Atbilde:</w:t>
      </w:r>
    </w:p>
    <w:p w:rsidR="005E66E2" w:rsidRPr="00352957" w:rsidRDefault="00680648" w:rsidP="005E66E2">
      <w:pPr>
        <w:pStyle w:val="ListParagraph"/>
        <w:ind w:left="0" w:right="-908"/>
        <w:jc w:val="both"/>
        <w:rPr>
          <w:rFonts w:ascii="Times New Roman" w:hAnsi="Times New Roman" w:cs="Times New Roman"/>
          <w:sz w:val="24"/>
          <w:szCs w:val="24"/>
        </w:rPr>
      </w:pPr>
      <w:r w:rsidRPr="00352957">
        <w:rPr>
          <w:rFonts w:ascii="Times New Roman" w:hAnsi="Times New Roman" w:cs="Times New Roman"/>
          <w:sz w:val="24"/>
          <w:szCs w:val="24"/>
        </w:rPr>
        <w:t>Apjoms būvuzņēmējam jāievērtē akas izbūves cenā.</w:t>
      </w:r>
    </w:p>
    <w:p w:rsidR="005E66E2" w:rsidRPr="00EC22D1" w:rsidRDefault="00C211DF" w:rsidP="005E66E2">
      <w:pPr>
        <w:ind w:right="-908"/>
        <w:jc w:val="both"/>
        <w:rPr>
          <w:lang w:val="lv-LV"/>
        </w:rPr>
      </w:pPr>
      <w:r w:rsidRPr="00EC22D1">
        <w:rPr>
          <w:b/>
          <w:i/>
          <w:u w:val="single"/>
          <w:lang w:val="lv-LV"/>
        </w:rPr>
        <w:t>10</w:t>
      </w:r>
      <w:r w:rsidR="005E66E2" w:rsidRPr="00EC22D1">
        <w:rPr>
          <w:b/>
          <w:i/>
          <w:u w:val="single"/>
          <w:lang w:val="lv-LV"/>
        </w:rPr>
        <w:t>.Jautājums:</w:t>
      </w:r>
      <w:r w:rsidR="005E66E2" w:rsidRPr="00EC22D1">
        <w:rPr>
          <w:b/>
          <w:i/>
          <w:lang w:val="lv-LV"/>
        </w:rPr>
        <w:t xml:space="preserve"> </w:t>
      </w:r>
      <w:r w:rsidR="005E66E2" w:rsidRPr="00EC22D1">
        <w:rPr>
          <w:lang w:val="lv-LV"/>
        </w:rPr>
        <w:t xml:space="preserve">Lūdzam skaidrot vai tehniskā projekta </w:t>
      </w:r>
      <w:proofErr w:type="spellStart"/>
      <w:r w:rsidR="005E66E2" w:rsidRPr="00EC22D1">
        <w:rPr>
          <w:lang w:val="lv-LV"/>
        </w:rPr>
        <w:t>garenprofilos</w:t>
      </w:r>
      <w:proofErr w:type="spellEnd"/>
      <w:r w:rsidR="005E66E2" w:rsidRPr="00EC22D1">
        <w:rPr>
          <w:lang w:val="lv-LV"/>
        </w:rPr>
        <w:t xml:space="preserve"> (ŪKT-2 14/15 un 15/15 lapās) ir norādīti pareizi aku diametri tām akām, kurās ir paredzēts izbūvēt hidrantus (U1-7; U1-14; U1-17 – visas norādītas kā DN1500), jo ja ir pareizi, tad nepieciešams labot aku apjomus tāmē kurā paredzētas tikai divas DN1500 akas ar hidranta izbūvi. Tāpat lūdzam apstiprināt, ka hidrantu akas U1-18; U1-19; U1-20; U1-21 ir DN2000 akas, pretējā gadījumā nepieciešams precizēt tāmes apjomus.</w:t>
      </w:r>
    </w:p>
    <w:p w:rsidR="005E66E2" w:rsidRPr="00EC22D1" w:rsidRDefault="005E66E2" w:rsidP="005E66E2">
      <w:pPr>
        <w:ind w:right="-908"/>
        <w:jc w:val="both"/>
        <w:rPr>
          <w:b/>
          <w:i/>
          <w:u w:val="single"/>
          <w:lang w:val="lv-LV"/>
        </w:rPr>
      </w:pPr>
      <w:r w:rsidRPr="00EC22D1">
        <w:rPr>
          <w:b/>
          <w:i/>
          <w:u w:val="single"/>
          <w:lang w:val="lv-LV"/>
        </w:rPr>
        <w:t>Atbilde:</w:t>
      </w:r>
    </w:p>
    <w:p w:rsidR="005E66E2" w:rsidRPr="00352957" w:rsidRDefault="00680648" w:rsidP="005E66E2">
      <w:pPr>
        <w:pStyle w:val="ListParagraph"/>
        <w:ind w:left="0" w:right="-908"/>
        <w:jc w:val="both"/>
        <w:rPr>
          <w:rFonts w:ascii="Times New Roman" w:hAnsi="Times New Roman" w:cs="Times New Roman"/>
          <w:i/>
          <w:sz w:val="24"/>
          <w:szCs w:val="24"/>
          <w:u w:val="single"/>
        </w:rPr>
      </w:pPr>
      <w:r w:rsidRPr="00352957">
        <w:rPr>
          <w:rFonts w:ascii="Times New Roman" w:hAnsi="Times New Roman" w:cs="Times New Roman"/>
          <w:sz w:val="24"/>
          <w:szCs w:val="24"/>
        </w:rPr>
        <w:t>Lūdzam pievērst uzmanību apjomu sadalījumam pa ielām, kopā projektā paredzētas 8 hidrantu akas, apjomos šie darbi arī ir paredzēti.</w:t>
      </w:r>
    </w:p>
    <w:p w:rsidR="005E66E2" w:rsidRPr="00EC22D1" w:rsidRDefault="005E66E2" w:rsidP="005E66E2">
      <w:pPr>
        <w:ind w:right="-908"/>
        <w:jc w:val="both"/>
        <w:rPr>
          <w:lang w:val="lv-LV"/>
        </w:rPr>
      </w:pPr>
      <w:r w:rsidRPr="00EC22D1">
        <w:rPr>
          <w:b/>
          <w:i/>
          <w:u w:val="single"/>
          <w:lang w:val="lv-LV"/>
        </w:rPr>
        <w:t>1</w:t>
      </w:r>
      <w:r w:rsidR="00C211DF" w:rsidRPr="00EC22D1">
        <w:rPr>
          <w:b/>
          <w:i/>
          <w:u w:val="single"/>
          <w:lang w:val="lv-LV"/>
        </w:rPr>
        <w:t>1</w:t>
      </w:r>
      <w:r w:rsidRPr="00EC22D1">
        <w:rPr>
          <w:b/>
          <w:i/>
          <w:u w:val="single"/>
          <w:lang w:val="lv-LV"/>
        </w:rPr>
        <w:t>.Jautājums:</w:t>
      </w:r>
      <w:r w:rsidRPr="00EC22D1">
        <w:rPr>
          <w:b/>
          <w:i/>
          <w:lang w:val="lv-LV"/>
        </w:rPr>
        <w:t xml:space="preserve"> </w:t>
      </w:r>
      <w:r w:rsidRPr="00EC22D1">
        <w:rPr>
          <w:lang w:val="lv-LV"/>
        </w:rPr>
        <w:t xml:space="preserve">Ūdensvada izbūves darbu apjomos Atmodas, Dūmu un Kadiķu ielu, 4. daļā iekļauti cauruļu, ūdensvada aku un citu būvdarbu apjomi. Bet tur nav informācijas par aizbīdņu un </w:t>
      </w:r>
      <w:proofErr w:type="spellStart"/>
      <w:r w:rsidRPr="00EC22D1">
        <w:rPr>
          <w:lang w:val="lv-LV"/>
        </w:rPr>
        <w:t>fasondaļu</w:t>
      </w:r>
      <w:proofErr w:type="spellEnd"/>
      <w:r w:rsidRPr="00EC22D1">
        <w:rPr>
          <w:lang w:val="lv-LV"/>
        </w:rPr>
        <w:t xml:space="preserve"> daudzumu un veidiem. Rasējumos UKT daļā arī nav informācijas par aizbīdņiem un </w:t>
      </w:r>
      <w:proofErr w:type="spellStart"/>
      <w:r w:rsidRPr="00EC22D1">
        <w:rPr>
          <w:lang w:val="lv-LV"/>
        </w:rPr>
        <w:t>fasondaļām</w:t>
      </w:r>
      <w:proofErr w:type="spellEnd"/>
      <w:r w:rsidRPr="00EC22D1">
        <w:rPr>
          <w:lang w:val="lv-LV"/>
        </w:rPr>
        <w:t xml:space="preserve"> un ūdensvada aku detalizācijas. Jautājums, vai tāmē vajadzīgs paredzēt izmaksas šiem darbiem, ja vajag, lūdzam paziņot aizbīdņu un </w:t>
      </w:r>
      <w:proofErr w:type="spellStart"/>
      <w:r w:rsidRPr="00EC22D1">
        <w:rPr>
          <w:lang w:val="lv-LV"/>
        </w:rPr>
        <w:t>fasondaļu</w:t>
      </w:r>
      <w:proofErr w:type="spellEnd"/>
      <w:r w:rsidRPr="00EC22D1">
        <w:rPr>
          <w:lang w:val="lv-LV"/>
        </w:rPr>
        <w:t xml:space="preserve"> nosaukumus un daudzumu.</w:t>
      </w:r>
    </w:p>
    <w:p w:rsidR="005E66E2" w:rsidRPr="00EC22D1" w:rsidRDefault="005E66E2" w:rsidP="005E66E2">
      <w:pPr>
        <w:ind w:right="-908"/>
        <w:jc w:val="both"/>
        <w:rPr>
          <w:b/>
          <w:i/>
          <w:u w:val="single"/>
          <w:lang w:val="lv-LV"/>
        </w:rPr>
      </w:pPr>
      <w:r w:rsidRPr="00EC22D1">
        <w:rPr>
          <w:b/>
          <w:i/>
          <w:u w:val="single"/>
          <w:lang w:val="lv-LV"/>
        </w:rPr>
        <w:t>Atbilde:</w:t>
      </w:r>
    </w:p>
    <w:p w:rsidR="005E66E2" w:rsidRPr="004E2D2F" w:rsidRDefault="00EB2B20" w:rsidP="005E66E2">
      <w:pPr>
        <w:ind w:right="-908"/>
        <w:jc w:val="both"/>
        <w:rPr>
          <w:lang w:val="lv-LV"/>
        </w:rPr>
      </w:pPr>
      <w:r w:rsidRPr="004E2D2F">
        <w:rPr>
          <w:lang w:val="lv-LV"/>
        </w:rPr>
        <w:t>Apjomi jāparedz pie aku izmaksu pozīcijām. Ūdensvada detalizācija nav nepieciešama, jo tiek atjaunots sliktā stāvoklī esošs ūdensvada posms, kā arī š</w:t>
      </w:r>
      <w:r w:rsidR="004E2D2F">
        <w:rPr>
          <w:lang w:val="lv-LV"/>
        </w:rPr>
        <w:t>ā</w:t>
      </w:r>
      <w:r w:rsidRPr="004E2D2F">
        <w:rPr>
          <w:lang w:val="lv-LV"/>
        </w:rPr>
        <w:t>du detalizācijas pakāpi neparedz pašvaldības apbūves noteikumi.</w:t>
      </w:r>
    </w:p>
    <w:p w:rsidR="00680648" w:rsidRPr="00EC22D1" w:rsidRDefault="00680648" w:rsidP="005E66E2">
      <w:pPr>
        <w:ind w:right="-908"/>
        <w:jc w:val="both"/>
        <w:rPr>
          <w:lang w:val="lv-LV"/>
        </w:rPr>
      </w:pPr>
    </w:p>
    <w:p w:rsidR="005E66E2" w:rsidRPr="00EC22D1" w:rsidRDefault="005E66E2" w:rsidP="005E66E2">
      <w:pPr>
        <w:ind w:right="-908"/>
        <w:jc w:val="both"/>
        <w:rPr>
          <w:lang w:val="lv-LV"/>
        </w:rPr>
      </w:pPr>
      <w:r w:rsidRPr="00EC22D1">
        <w:rPr>
          <w:b/>
          <w:i/>
          <w:u w:val="single"/>
          <w:lang w:val="lv-LV"/>
        </w:rPr>
        <w:t>1</w:t>
      </w:r>
      <w:r w:rsidR="00C211DF" w:rsidRPr="00EC22D1">
        <w:rPr>
          <w:b/>
          <w:i/>
          <w:u w:val="single"/>
          <w:lang w:val="lv-LV"/>
        </w:rPr>
        <w:t>2</w:t>
      </w:r>
      <w:r w:rsidRPr="00EC22D1">
        <w:rPr>
          <w:b/>
          <w:i/>
          <w:u w:val="single"/>
          <w:lang w:val="lv-LV"/>
        </w:rPr>
        <w:t>.Jautājums:</w:t>
      </w:r>
      <w:r w:rsidRPr="00EC22D1">
        <w:rPr>
          <w:b/>
          <w:i/>
          <w:lang w:val="lv-LV"/>
        </w:rPr>
        <w:t xml:space="preserve"> </w:t>
      </w:r>
      <w:r w:rsidRPr="00EC22D1">
        <w:rPr>
          <w:lang w:val="lv-LV"/>
        </w:rPr>
        <w:t xml:space="preserve">Tāmē Nr.2 – Dūmu iela, pozīcijā Nr.1.47 “Sintētiskais segums sporta aktivitāšu laukumam h=20mm” ar apjomu 148.70 m2 un tāmē Nr.3 – Kadiķu iela, pozīcijā Nr.1.48 </w:t>
      </w:r>
      <w:r w:rsidRPr="00EC22D1">
        <w:rPr>
          <w:lang w:val="lv-LV"/>
        </w:rPr>
        <w:lastRenderedPageBreak/>
        <w:t xml:space="preserve">“Sintētiskais segums sporta aktivitāšu laukumam h=20mm” ar apjomu 810.10 m2. Vai sintētiskais segums paredzēts izbūvēt no viengabala, lieta seguma vai no plātnēm? </w:t>
      </w:r>
    </w:p>
    <w:p w:rsidR="005E66E2" w:rsidRPr="00EC22D1" w:rsidRDefault="005E66E2" w:rsidP="005E66E2">
      <w:pPr>
        <w:ind w:right="-908"/>
        <w:jc w:val="both"/>
        <w:rPr>
          <w:b/>
          <w:i/>
          <w:u w:val="single"/>
          <w:lang w:val="lv-LV"/>
        </w:rPr>
      </w:pPr>
      <w:r w:rsidRPr="00EC22D1">
        <w:rPr>
          <w:b/>
          <w:i/>
          <w:u w:val="single"/>
          <w:lang w:val="lv-LV"/>
        </w:rPr>
        <w:t>Atbilde:</w:t>
      </w:r>
    </w:p>
    <w:p w:rsidR="005E66E2" w:rsidRPr="00352957" w:rsidRDefault="002A7E3E" w:rsidP="005E66E2">
      <w:pPr>
        <w:ind w:right="-908"/>
        <w:jc w:val="both"/>
        <w:rPr>
          <w:lang w:val="lv-LV"/>
        </w:rPr>
      </w:pPr>
      <w:r w:rsidRPr="00352957">
        <w:t xml:space="preserve">No </w:t>
      </w:r>
      <w:proofErr w:type="spellStart"/>
      <w:r w:rsidRPr="00352957">
        <w:t>viengabala</w:t>
      </w:r>
      <w:proofErr w:type="spellEnd"/>
      <w:r w:rsidRPr="00352957">
        <w:t xml:space="preserve"> </w:t>
      </w:r>
      <w:proofErr w:type="spellStart"/>
      <w:r w:rsidRPr="00352957">
        <w:t>lieta</w:t>
      </w:r>
      <w:proofErr w:type="spellEnd"/>
      <w:r w:rsidRPr="00352957">
        <w:t xml:space="preserve"> </w:t>
      </w:r>
      <w:proofErr w:type="spellStart"/>
      <w:r w:rsidRPr="00352957">
        <w:t>seguma</w:t>
      </w:r>
      <w:proofErr w:type="spellEnd"/>
      <w:r w:rsidRPr="00352957">
        <w:t>.</w:t>
      </w:r>
    </w:p>
    <w:p w:rsidR="00EB2B20" w:rsidRPr="00EC22D1" w:rsidRDefault="00EB2B20" w:rsidP="005E66E2">
      <w:pPr>
        <w:ind w:right="-908"/>
        <w:jc w:val="both"/>
        <w:rPr>
          <w:lang w:val="lv-LV"/>
        </w:rPr>
      </w:pPr>
    </w:p>
    <w:p w:rsidR="005E66E2" w:rsidRPr="004E2D2F" w:rsidRDefault="005E66E2" w:rsidP="005E66E2">
      <w:pPr>
        <w:ind w:right="-908"/>
        <w:jc w:val="both"/>
        <w:rPr>
          <w:lang w:val="lv-LV"/>
        </w:rPr>
      </w:pPr>
      <w:r w:rsidRPr="00EC22D1">
        <w:rPr>
          <w:b/>
          <w:i/>
          <w:u w:val="single"/>
          <w:lang w:val="lv-LV"/>
        </w:rPr>
        <w:t>1</w:t>
      </w:r>
      <w:r w:rsidR="00C211DF" w:rsidRPr="00EC22D1">
        <w:rPr>
          <w:b/>
          <w:i/>
          <w:u w:val="single"/>
          <w:lang w:val="lv-LV"/>
        </w:rPr>
        <w:t>3</w:t>
      </w:r>
      <w:r w:rsidRPr="00EC22D1">
        <w:rPr>
          <w:b/>
          <w:i/>
          <w:u w:val="single"/>
          <w:lang w:val="lv-LV"/>
        </w:rPr>
        <w:t>.Jautājums:</w:t>
      </w:r>
      <w:r w:rsidRPr="00EC22D1">
        <w:rPr>
          <w:b/>
          <w:i/>
          <w:lang w:val="lv-LV"/>
        </w:rPr>
        <w:t xml:space="preserve"> </w:t>
      </w:r>
      <w:r w:rsidRPr="00EC22D1">
        <w:rPr>
          <w:lang w:val="lv-LV"/>
        </w:rPr>
        <w:t>Tāmē Nr.2 – Dūmu iela, pozīcijā Nr.1.</w:t>
      </w:r>
      <w:r w:rsidRPr="004E2D2F">
        <w:rPr>
          <w:lang w:val="lv-LV"/>
        </w:rPr>
        <w:t>48 “</w:t>
      </w:r>
      <w:proofErr w:type="spellStart"/>
      <w:r w:rsidRPr="004E2D2F">
        <w:rPr>
          <w:lang w:val="lv-LV"/>
        </w:rPr>
        <w:t>Porasfalts</w:t>
      </w:r>
      <w:proofErr w:type="spellEnd"/>
      <w:r w:rsidRPr="004E2D2F">
        <w:rPr>
          <w:lang w:val="lv-LV"/>
        </w:rPr>
        <w:t xml:space="preserve"> PA 11, h=4cm, AADT </w:t>
      </w:r>
      <w:proofErr w:type="spellStart"/>
      <w:r w:rsidRPr="004E2D2F">
        <w:rPr>
          <w:lang w:val="lv-LV"/>
        </w:rPr>
        <w:t>j,pievestā</w:t>
      </w:r>
      <w:proofErr w:type="spellEnd"/>
      <w:r w:rsidRPr="004E2D2F">
        <w:rPr>
          <w:lang w:val="lv-LV"/>
        </w:rPr>
        <w:t xml:space="preserve"> ≥3500” ar apjomu 148.70 m2 un tāmē Nr.3 – Kadiķu iela, pozīcijā Nr.1.50 “</w:t>
      </w:r>
      <w:proofErr w:type="spellStart"/>
      <w:r w:rsidRPr="004E2D2F">
        <w:rPr>
          <w:lang w:val="lv-LV"/>
        </w:rPr>
        <w:t>Porasfalts</w:t>
      </w:r>
      <w:proofErr w:type="spellEnd"/>
      <w:r w:rsidRPr="004E2D2F">
        <w:rPr>
          <w:lang w:val="lv-LV"/>
        </w:rPr>
        <w:t xml:space="preserve"> PA 11, h=4cm, AADT </w:t>
      </w:r>
      <w:proofErr w:type="spellStart"/>
      <w:r w:rsidRPr="004E2D2F">
        <w:rPr>
          <w:lang w:val="lv-LV"/>
        </w:rPr>
        <w:t>j,pievestā</w:t>
      </w:r>
      <w:proofErr w:type="spellEnd"/>
      <w:r w:rsidRPr="004E2D2F">
        <w:rPr>
          <w:lang w:val="lv-LV"/>
        </w:rPr>
        <w:t xml:space="preserve"> ≥3500” ar apjomu 810.10 m2. </w:t>
      </w:r>
      <w:proofErr w:type="spellStart"/>
      <w:r w:rsidRPr="004E2D2F">
        <w:rPr>
          <w:lang w:val="lv-LV"/>
        </w:rPr>
        <w:t>Porasfaltu</w:t>
      </w:r>
      <w:proofErr w:type="spellEnd"/>
      <w:r w:rsidRPr="004E2D2F">
        <w:rPr>
          <w:lang w:val="lv-LV"/>
        </w:rPr>
        <w:t xml:space="preserve"> ir paredzēts izbūvēt zem sintētiskajiem segumiem sporta aktivitāšu laukumos. Jautājums ir vai tiešām šis asfalts jāparedz ar satiksmes intensitāti AADT </w:t>
      </w:r>
      <w:proofErr w:type="spellStart"/>
      <w:r w:rsidRPr="004E2D2F">
        <w:rPr>
          <w:lang w:val="lv-LV"/>
        </w:rPr>
        <w:t>j,pievestā</w:t>
      </w:r>
      <w:proofErr w:type="spellEnd"/>
      <w:r w:rsidRPr="004E2D2F">
        <w:rPr>
          <w:lang w:val="lv-LV"/>
        </w:rPr>
        <w:t xml:space="preserve"> ≥3500, ņemot vērā ka par to pārvietosies tikai cilvēki? Lūdzam koriģēt tāmes pozīcijas nosaukumu. Šāda intensitāte nav pat blakus izbūvējamajām brauktuvēm!</w:t>
      </w:r>
    </w:p>
    <w:p w:rsidR="005E66E2" w:rsidRPr="004E2D2F" w:rsidRDefault="005E66E2" w:rsidP="005E66E2">
      <w:pPr>
        <w:ind w:right="-908"/>
        <w:jc w:val="both"/>
        <w:rPr>
          <w:b/>
          <w:i/>
          <w:u w:val="single"/>
          <w:lang w:val="lv-LV"/>
        </w:rPr>
      </w:pPr>
      <w:r w:rsidRPr="004E2D2F">
        <w:rPr>
          <w:b/>
          <w:i/>
          <w:u w:val="single"/>
          <w:lang w:val="lv-LV"/>
        </w:rPr>
        <w:t>Atbilde:</w:t>
      </w:r>
      <w:bookmarkStart w:id="0" w:name="_GoBack"/>
      <w:bookmarkEnd w:id="0"/>
    </w:p>
    <w:p w:rsidR="005E66E2" w:rsidRPr="004E2D2F" w:rsidRDefault="00821B3B" w:rsidP="005E66E2">
      <w:pPr>
        <w:ind w:right="-908"/>
        <w:jc w:val="both"/>
        <w:rPr>
          <w:lang w:val="lv-LV"/>
        </w:rPr>
      </w:pPr>
      <w:r w:rsidRPr="004E2D2F">
        <w:rPr>
          <w:lang w:val="lv-LV"/>
        </w:rPr>
        <w:t xml:space="preserve">"Ceļu specifikācijas 2015" paredz </w:t>
      </w:r>
      <w:proofErr w:type="spellStart"/>
      <w:r w:rsidRPr="004E2D2F">
        <w:rPr>
          <w:lang w:val="lv-LV"/>
        </w:rPr>
        <w:t>porasfalta</w:t>
      </w:r>
      <w:proofErr w:type="spellEnd"/>
      <w:r w:rsidRPr="004E2D2F">
        <w:rPr>
          <w:lang w:val="lv-LV"/>
        </w:rPr>
        <w:t xml:space="preserve"> izbūvi tikai no šādiem materiāliem.</w:t>
      </w:r>
    </w:p>
    <w:p w:rsidR="002A7E3E" w:rsidRPr="004E2D2F" w:rsidRDefault="002A7E3E" w:rsidP="005E66E2">
      <w:pPr>
        <w:ind w:right="-908"/>
        <w:jc w:val="both"/>
        <w:rPr>
          <w:lang w:val="lv-LV"/>
        </w:rPr>
      </w:pPr>
    </w:p>
    <w:p w:rsidR="005E66E2" w:rsidRPr="00EC22D1" w:rsidRDefault="005E66E2" w:rsidP="005E66E2">
      <w:pPr>
        <w:ind w:right="-908"/>
        <w:jc w:val="both"/>
        <w:rPr>
          <w:lang w:val="lv-LV"/>
        </w:rPr>
      </w:pPr>
      <w:r w:rsidRPr="004E2D2F">
        <w:rPr>
          <w:b/>
          <w:i/>
          <w:u w:val="single"/>
          <w:lang w:val="lv-LV"/>
        </w:rPr>
        <w:t>1</w:t>
      </w:r>
      <w:r w:rsidR="00C211DF" w:rsidRPr="004E2D2F">
        <w:rPr>
          <w:b/>
          <w:i/>
          <w:u w:val="single"/>
          <w:lang w:val="lv-LV"/>
        </w:rPr>
        <w:t>4</w:t>
      </w:r>
      <w:r w:rsidRPr="004E2D2F">
        <w:rPr>
          <w:b/>
          <w:i/>
          <w:u w:val="single"/>
          <w:lang w:val="lv-LV"/>
        </w:rPr>
        <w:t>.Jautājums:</w:t>
      </w:r>
      <w:r w:rsidRPr="004E2D2F">
        <w:rPr>
          <w:b/>
          <w:i/>
          <w:lang w:val="lv-LV"/>
        </w:rPr>
        <w:t xml:space="preserve"> </w:t>
      </w:r>
      <w:r w:rsidRPr="004E2D2F">
        <w:rPr>
          <w:lang w:val="lv-LV"/>
        </w:rPr>
        <w:t xml:space="preserve">Tāmē Nr.2 – Dūmu iela, pozīcijā Nr.6.1 un Nr.6.9 norādīts “Žogs bērnu laukumam. Koka žogs - </w:t>
      </w:r>
      <w:proofErr w:type="spellStart"/>
      <w:r w:rsidRPr="004E2D2F">
        <w:rPr>
          <w:lang w:val="lv-LV"/>
        </w:rPr>
        <w:t>Thermowood</w:t>
      </w:r>
      <w:proofErr w:type="spellEnd"/>
      <w:r w:rsidRPr="004E2D2F">
        <w:rPr>
          <w:lang w:val="lv-LV"/>
        </w:rPr>
        <w:t xml:space="preserve"> </w:t>
      </w:r>
      <w:proofErr w:type="spellStart"/>
      <w:r w:rsidRPr="004E2D2F">
        <w:rPr>
          <w:lang w:val="lv-LV"/>
        </w:rPr>
        <w:t>Garden</w:t>
      </w:r>
      <w:proofErr w:type="spellEnd"/>
      <w:r w:rsidRPr="004E2D2F">
        <w:rPr>
          <w:lang w:val="lv-LV"/>
        </w:rPr>
        <w:t xml:space="preserve"> (vai ekvivalents). Koka dēļu žogs, izgatavots no termiski apstrādātas koksnes, apstrādāts ar </w:t>
      </w:r>
      <w:proofErr w:type="spellStart"/>
      <w:r w:rsidRPr="004E2D2F">
        <w:rPr>
          <w:lang w:val="lv-LV"/>
        </w:rPr>
        <w:t>pigmentētu</w:t>
      </w:r>
      <w:proofErr w:type="spellEnd"/>
      <w:r w:rsidRPr="004E2D2F">
        <w:rPr>
          <w:lang w:val="lv-LV"/>
        </w:rPr>
        <w:t xml:space="preserve"> koksnes</w:t>
      </w:r>
      <w:r w:rsidRPr="00EC22D1">
        <w:rPr>
          <w:lang w:val="lv-LV"/>
        </w:rPr>
        <w:t xml:space="preserve"> eļļu. Žoga stabiņi - koka 90x90mm, no termiski apstrādātas koksnes, analogi žoga posmam, stiprināti uz metāla iebetonētas detaļas. Žoga augstums 900mm. Žoga posma garums 3m. Uz žoga iekšpusē stiprināts uzraksts "BEBRIŅŠ" un "Daugava"” ar apjomu 20.00m katrā pozīcijā. Vai šīs pozīcijas nedublē viena otru? Lūdzam labot darbu daudzumu sarakstu un vienu no pozīcijām izslēgt! Tas pats attiecas uz tāmi Nr.3 – Kadiķu iela, tāmes pozīcijas Nr.5.1 un Nr.5.13, kur ir šie paši darbi un abās pozīcijās darbu apjoms ir 55.00m.</w:t>
      </w:r>
    </w:p>
    <w:p w:rsidR="005E66E2" w:rsidRPr="00EC22D1" w:rsidRDefault="005E66E2" w:rsidP="005E66E2">
      <w:pPr>
        <w:ind w:right="-908"/>
        <w:jc w:val="both"/>
        <w:rPr>
          <w:b/>
          <w:i/>
          <w:u w:val="single"/>
          <w:lang w:val="lv-LV"/>
        </w:rPr>
      </w:pPr>
      <w:r w:rsidRPr="00EC22D1">
        <w:rPr>
          <w:b/>
          <w:i/>
          <w:u w:val="single"/>
          <w:lang w:val="lv-LV"/>
        </w:rPr>
        <w:t>Atbilde:</w:t>
      </w:r>
    </w:p>
    <w:p w:rsidR="005E66E2" w:rsidRPr="00352957" w:rsidRDefault="00352957" w:rsidP="005E66E2">
      <w:pPr>
        <w:pStyle w:val="ListParagraph"/>
        <w:ind w:left="0" w:right="-908"/>
        <w:rPr>
          <w:rFonts w:ascii="Times New Roman" w:hAnsi="Times New Roman" w:cs="Times New Roman"/>
          <w:sz w:val="24"/>
          <w:szCs w:val="24"/>
        </w:rPr>
      </w:pPr>
      <w:r w:rsidRPr="00352957">
        <w:rPr>
          <w:rFonts w:ascii="Times New Roman" w:hAnsi="Times New Roman" w:cs="Times New Roman"/>
          <w:sz w:val="24"/>
          <w:szCs w:val="24"/>
        </w:rPr>
        <w:t>Šīs pozīcijas nedublē viena otru.</w:t>
      </w:r>
    </w:p>
    <w:p w:rsidR="005E66E2" w:rsidRPr="00EC22D1" w:rsidRDefault="005E66E2" w:rsidP="005E66E2">
      <w:pPr>
        <w:ind w:right="-908"/>
        <w:jc w:val="both"/>
        <w:rPr>
          <w:lang w:val="lv-LV"/>
        </w:rPr>
      </w:pPr>
      <w:r w:rsidRPr="00EC22D1">
        <w:rPr>
          <w:b/>
          <w:i/>
          <w:u w:val="single"/>
          <w:lang w:val="lv-LV"/>
        </w:rPr>
        <w:t>1</w:t>
      </w:r>
      <w:r w:rsidR="000A4D8F" w:rsidRPr="00EC22D1">
        <w:rPr>
          <w:b/>
          <w:i/>
          <w:u w:val="single"/>
          <w:lang w:val="lv-LV"/>
        </w:rPr>
        <w:t>5</w:t>
      </w:r>
      <w:r w:rsidRPr="00EC22D1">
        <w:rPr>
          <w:b/>
          <w:i/>
          <w:u w:val="single"/>
          <w:lang w:val="lv-LV"/>
        </w:rPr>
        <w:t>.Jautājums:</w:t>
      </w:r>
      <w:r w:rsidRPr="00EC22D1">
        <w:rPr>
          <w:b/>
          <w:i/>
          <w:lang w:val="lv-LV"/>
        </w:rPr>
        <w:t xml:space="preserve"> </w:t>
      </w:r>
      <w:r w:rsidRPr="00EC22D1">
        <w:rPr>
          <w:lang w:val="lv-LV"/>
        </w:rPr>
        <w:t xml:space="preserve">Tāmē Nr.2 – Dūmu iela, pozīcijā Nr.6.16 paredzēt “Bērnu laukuma nosaukums. Stiprināts pie sētiņas. Mazais laukums - BEBRIŅŠ. Lielais laukums - DAUGAVA. Krāsota saplākšņa burti 10mm biezi, izzāģēti, krāsoti ar akrila krāsām. Burtu augstums - 300mm.” ar darbu apjomu 1.00 gab. Lūdzam apstiprināt, ka 1.00 </w:t>
      </w:r>
      <w:proofErr w:type="spellStart"/>
      <w:r w:rsidRPr="00EC22D1">
        <w:rPr>
          <w:lang w:val="lv-LV"/>
        </w:rPr>
        <w:t>gab</w:t>
      </w:r>
      <w:proofErr w:type="spellEnd"/>
      <w:r w:rsidRPr="00EC22D1">
        <w:rPr>
          <w:lang w:val="lv-LV"/>
        </w:rPr>
        <w:t xml:space="preserve"> ietver abu uzrakstu izgatavošanu un uzstādīšanu, tāpat arī lūdzam apstiprināt, ka šīs izmaksas nav jāiekļauj pozīcijās pie bērnu laukumu žoga izbūves, jo arī šajās pozīcijās nosaukumā ir norādīta šo laukumu nosaukumu stiprināšana!</w:t>
      </w:r>
    </w:p>
    <w:p w:rsidR="005E66E2" w:rsidRPr="00EC22D1" w:rsidRDefault="005E66E2" w:rsidP="005E66E2">
      <w:pPr>
        <w:ind w:right="-908"/>
        <w:jc w:val="both"/>
        <w:rPr>
          <w:b/>
          <w:i/>
          <w:u w:val="single"/>
          <w:lang w:val="lv-LV"/>
        </w:rPr>
      </w:pPr>
      <w:r w:rsidRPr="00EC22D1">
        <w:rPr>
          <w:b/>
          <w:i/>
          <w:u w:val="single"/>
          <w:lang w:val="lv-LV"/>
        </w:rPr>
        <w:t>Atbilde:</w:t>
      </w:r>
    </w:p>
    <w:p w:rsidR="005E66E2" w:rsidRPr="00352957" w:rsidRDefault="00352957" w:rsidP="005E66E2">
      <w:pPr>
        <w:pStyle w:val="ListParagraph"/>
        <w:ind w:left="0" w:right="-908"/>
      </w:pPr>
      <w:r w:rsidRPr="00352957">
        <w:rPr>
          <w:rFonts w:ascii="Times New Roman" w:hAnsi="Times New Roman" w:cs="Times New Roman"/>
          <w:sz w:val="24"/>
          <w:szCs w:val="24"/>
        </w:rPr>
        <w:t>Abi uzraksti iekļauti šajā darbu pozīcijā.</w:t>
      </w:r>
    </w:p>
    <w:p w:rsidR="002F13A9" w:rsidRPr="00EC22D1" w:rsidRDefault="002F13A9" w:rsidP="00834073">
      <w:pPr>
        <w:ind w:right="-1050"/>
        <w:rPr>
          <w:lang w:val="lv-LV"/>
        </w:rPr>
      </w:pPr>
    </w:p>
    <w:p w:rsidR="00834073" w:rsidRPr="00834073" w:rsidRDefault="00834073" w:rsidP="00834073">
      <w:pPr>
        <w:ind w:right="-1050"/>
        <w:rPr>
          <w:lang w:val="lv-LV"/>
        </w:rPr>
      </w:pPr>
      <w:r w:rsidRPr="00EC22D1">
        <w:rPr>
          <w:lang w:val="lv-LV"/>
        </w:rPr>
        <w:t>Komisijas priekšsēdētāj</w:t>
      </w:r>
      <w:r w:rsidR="002F13A9" w:rsidRPr="00EC22D1">
        <w:rPr>
          <w:lang w:val="lv-LV"/>
        </w:rPr>
        <w:t>a vietnieks</w:t>
      </w:r>
      <w:r w:rsidRPr="00EC22D1">
        <w:rPr>
          <w:lang w:val="lv-LV"/>
        </w:rPr>
        <w:tab/>
      </w:r>
      <w:r w:rsidRPr="00EC22D1">
        <w:rPr>
          <w:lang w:val="lv-LV"/>
        </w:rPr>
        <w:tab/>
      </w:r>
      <w:r w:rsidRPr="00EC22D1">
        <w:rPr>
          <w:lang w:val="lv-LV"/>
        </w:rPr>
        <w:tab/>
      </w:r>
      <w:r w:rsidRPr="00834073">
        <w:rPr>
          <w:lang w:val="lv-LV"/>
        </w:rPr>
        <w:t xml:space="preserve">                              </w:t>
      </w:r>
      <w:r w:rsidR="004A740B">
        <w:rPr>
          <w:lang w:val="lv-LV"/>
        </w:rPr>
        <w:tab/>
      </w:r>
      <w:r w:rsidR="004A740B">
        <w:rPr>
          <w:lang w:val="lv-LV"/>
        </w:rPr>
        <w:tab/>
      </w:r>
      <w:proofErr w:type="spellStart"/>
      <w:r w:rsidR="004A740B">
        <w:rPr>
          <w:lang w:val="lv-LV"/>
        </w:rPr>
        <w:t>R.Skrējāns</w:t>
      </w:r>
      <w:proofErr w:type="spellEnd"/>
      <w:r w:rsidRPr="00834073">
        <w:rPr>
          <w:lang w:val="lv-LV"/>
        </w:rPr>
        <w:t xml:space="preserve">                                     </w:t>
      </w:r>
    </w:p>
    <w:p w:rsidR="00834073" w:rsidRPr="00FC5C17" w:rsidRDefault="002F13A9" w:rsidP="00834073">
      <w:pPr>
        <w:rPr>
          <w:lang w:val="lv-LV"/>
        </w:rPr>
      </w:pPr>
      <w:r>
        <w:rPr>
          <w:lang w:val="lv-LV"/>
        </w:rPr>
        <w:tab/>
      </w:r>
      <w:r>
        <w:rPr>
          <w:lang w:val="lv-LV"/>
        </w:rPr>
        <w:tab/>
      </w:r>
    </w:p>
    <w:p w:rsidR="003441ED" w:rsidRDefault="00834073">
      <w:r w:rsidRPr="00FC5C17">
        <w:rPr>
          <w:sz w:val="22"/>
          <w:lang w:val="lv-LV"/>
        </w:rPr>
        <w:t xml:space="preserve">Stankevica </w:t>
      </w:r>
      <w:r w:rsidRPr="00FC5C17">
        <w:rPr>
          <w:bCs/>
          <w:sz w:val="22"/>
          <w:lang w:val="lv-LV"/>
        </w:rPr>
        <w:t>65207309</w:t>
      </w:r>
    </w:p>
    <w:p w:rsidR="00B256A5" w:rsidRDefault="00B256A5"/>
    <w:sectPr w:rsidR="00B256A5" w:rsidSect="004F5DA0">
      <w:footerReference w:type="default" r:id="rId9"/>
      <w:pgSz w:w="11906" w:h="16838"/>
      <w:pgMar w:top="1079" w:right="180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278" w:rsidRDefault="00562278">
      <w:r>
        <w:separator/>
      </w:r>
    </w:p>
  </w:endnote>
  <w:endnote w:type="continuationSeparator" w:id="0">
    <w:p w:rsidR="00562278" w:rsidRDefault="0056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421BFC">
        <w:pPr>
          <w:pStyle w:val="Footer"/>
          <w:jc w:val="right"/>
        </w:pPr>
        <w:r>
          <w:fldChar w:fldCharType="begin"/>
        </w:r>
        <w:r>
          <w:instrText xml:space="preserve"> PAGE   \* MERGEFORMAT </w:instrText>
        </w:r>
        <w:r>
          <w:fldChar w:fldCharType="separate"/>
        </w:r>
        <w:r w:rsidR="00790247">
          <w:rPr>
            <w:noProof/>
          </w:rPr>
          <w:t>4</w:t>
        </w:r>
        <w:r>
          <w:rPr>
            <w:noProof/>
          </w:rPr>
          <w:fldChar w:fldCharType="end"/>
        </w:r>
      </w:p>
    </w:sdtContent>
  </w:sdt>
  <w:p w:rsidR="0096467C" w:rsidRDefault="00562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278" w:rsidRDefault="00562278">
      <w:r>
        <w:separator/>
      </w:r>
    </w:p>
  </w:footnote>
  <w:footnote w:type="continuationSeparator" w:id="0">
    <w:p w:rsidR="00562278" w:rsidRDefault="00562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27A6E"/>
    <w:multiLevelType w:val="hybridMultilevel"/>
    <w:tmpl w:val="3D2E7D2A"/>
    <w:lvl w:ilvl="0" w:tplc="04260001">
      <w:start w:val="1"/>
      <w:numFmt w:val="bullet"/>
      <w:lvlText w:val=""/>
      <w:lvlJc w:val="left"/>
      <w:pPr>
        <w:ind w:left="1353" w:hanging="360"/>
      </w:pPr>
      <w:rPr>
        <w:rFonts w:ascii="Symbol" w:hAnsi="Symbol" w:hint="default"/>
        <w:color w:val="auto"/>
      </w:rPr>
    </w:lvl>
    <w:lvl w:ilvl="1" w:tplc="04260001">
      <w:start w:val="1"/>
      <w:numFmt w:val="bullet"/>
      <w:lvlText w:val=""/>
      <w:lvlJc w:val="left"/>
      <w:pPr>
        <w:ind w:left="2073" w:hanging="360"/>
      </w:pPr>
      <w:rPr>
        <w:rFonts w:ascii="Symbol" w:hAnsi="Symbol" w:hint="default"/>
      </w:r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1ACC4478"/>
    <w:multiLevelType w:val="hybridMultilevel"/>
    <w:tmpl w:val="0A70B730"/>
    <w:lvl w:ilvl="0" w:tplc="7BC25784">
      <w:start w:val="1"/>
      <w:numFmt w:val="decimal"/>
      <w:lvlText w:val="%1."/>
      <w:lvlJc w:val="left"/>
      <w:pPr>
        <w:ind w:left="1353" w:hanging="360"/>
      </w:pPr>
      <w:rPr>
        <w:rFonts w:hint="default"/>
        <w:color w:val="auto"/>
      </w:rPr>
    </w:lvl>
    <w:lvl w:ilvl="1" w:tplc="04260001">
      <w:start w:val="1"/>
      <w:numFmt w:val="bullet"/>
      <w:lvlText w:val=""/>
      <w:lvlJc w:val="left"/>
      <w:pPr>
        <w:ind w:left="2073" w:hanging="360"/>
      </w:pPr>
      <w:rPr>
        <w:rFonts w:ascii="Symbol" w:hAnsi="Symbol" w:hint="default"/>
      </w:r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3"/>
    <w:rsid w:val="00012CFA"/>
    <w:rsid w:val="00036159"/>
    <w:rsid w:val="000604EE"/>
    <w:rsid w:val="000A4D8F"/>
    <w:rsid w:val="000C001A"/>
    <w:rsid w:val="002A7E3E"/>
    <w:rsid w:val="002F13A9"/>
    <w:rsid w:val="003441ED"/>
    <w:rsid w:val="00352957"/>
    <w:rsid w:val="003B2471"/>
    <w:rsid w:val="00421BFC"/>
    <w:rsid w:val="004A740B"/>
    <w:rsid w:val="004E2D2F"/>
    <w:rsid w:val="00562278"/>
    <w:rsid w:val="005E66E2"/>
    <w:rsid w:val="00680648"/>
    <w:rsid w:val="00790247"/>
    <w:rsid w:val="00821B3B"/>
    <w:rsid w:val="00834073"/>
    <w:rsid w:val="008451E1"/>
    <w:rsid w:val="00A017F9"/>
    <w:rsid w:val="00A24E16"/>
    <w:rsid w:val="00A3356C"/>
    <w:rsid w:val="00B256A5"/>
    <w:rsid w:val="00B340BD"/>
    <w:rsid w:val="00C211DF"/>
    <w:rsid w:val="00C4344B"/>
    <w:rsid w:val="00D13C25"/>
    <w:rsid w:val="00DA676B"/>
    <w:rsid w:val="00DF4469"/>
    <w:rsid w:val="00EB2B20"/>
    <w:rsid w:val="00EC22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9096B-CA0B-4288-BEF6-DDC4B4E1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73"/>
    <w:rPr>
      <w:rFonts w:eastAsia="Times New Roman" w:cs="Times New Roman"/>
      <w:szCs w:val="24"/>
      <w:lang w:val="en-GB"/>
    </w:rPr>
  </w:style>
  <w:style w:type="paragraph" w:styleId="Heading4">
    <w:name w:val="heading 4"/>
    <w:basedOn w:val="Normal"/>
    <w:next w:val="Normal"/>
    <w:link w:val="Heading4Char"/>
    <w:qFormat/>
    <w:rsid w:val="00834073"/>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4073"/>
    <w:rPr>
      <w:rFonts w:eastAsia="Times New Roman" w:cs="Times New Roman"/>
      <w:b/>
      <w:bCs/>
      <w:szCs w:val="24"/>
    </w:rPr>
  </w:style>
  <w:style w:type="paragraph" w:customStyle="1" w:styleId="xl23">
    <w:name w:val="xl23"/>
    <w:basedOn w:val="Normal"/>
    <w:rsid w:val="00834073"/>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834073"/>
    <w:pPr>
      <w:tabs>
        <w:tab w:val="center" w:pos="4153"/>
        <w:tab w:val="right" w:pos="8306"/>
      </w:tabs>
    </w:pPr>
  </w:style>
  <w:style w:type="character" w:customStyle="1" w:styleId="FooterChar">
    <w:name w:val="Footer Char"/>
    <w:basedOn w:val="DefaultParagraphFont"/>
    <w:link w:val="Footer"/>
    <w:uiPriority w:val="99"/>
    <w:rsid w:val="00834073"/>
    <w:rPr>
      <w:rFonts w:eastAsia="Times New Roman" w:cs="Times New Roman"/>
      <w:szCs w:val="24"/>
      <w:lang w:val="en-GB"/>
    </w:rPr>
  </w:style>
  <w:style w:type="paragraph" w:styleId="BalloonText">
    <w:name w:val="Balloon Text"/>
    <w:basedOn w:val="Normal"/>
    <w:link w:val="BalloonTextChar"/>
    <w:uiPriority w:val="99"/>
    <w:semiHidden/>
    <w:unhideWhenUsed/>
    <w:rsid w:val="00421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BFC"/>
    <w:rPr>
      <w:rFonts w:ascii="Segoe UI" w:eastAsia="Times New Roman" w:hAnsi="Segoe UI" w:cs="Segoe UI"/>
      <w:sz w:val="18"/>
      <w:szCs w:val="18"/>
      <w:lang w:val="en-GB"/>
    </w:rPr>
  </w:style>
  <w:style w:type="paragraph" w:styleId="ListParagraph">
    <w:name w:val="List Paragraph"/>
    <w:basedOn w:val="Normal"/>
    <w:uiPriority w:val="34"/>
    <w:qFormat/>
    <w:rsid w:val="005E66E2"/>
    <w:pPr>
      <w:spacing w:after="200" w:line="276"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5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5903</Words>
  <Characters>3365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cp:lastPrinted>2016-04-20T12:29:00Z</cp:lastPrinted>
  <dcterms:created xsi:type="dcterms:W3CDTF">2016-04-29T13:14:00Z</dcterms:created>
  <dcterms:modified xsi:type="dcterms:W3CDTF">2016-04-29T13:14:00Z</dcterms:modified>
</cp:coreProperties>
</file>