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1A" w:rsidRDefault="0016131A" w:rsidP="0016131A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639F8564" wp14:editId="79CD3E18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1A" w:rsidRPr="0036267C" w:rsidRDefault="0016131A" w:rsidP="0016131A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16131A" w:rsidRDefault="0016131A" w:rsidP="0016131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16131A" w:rsidRDefault="0016131A" w:rsidP="0016131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6131A" w:rsidRDefault="0016131A" w:rsidP="0016131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6131A" w:rsidRDefault="0016131A" w:rsidP="0016131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6131A" w:rsidRDefault="0016131A" w:rsidP="0016131A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16131A" w:rsidRDefault="0016131A" w:rsidP="0016131A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16131A" w:rsidRDefault="0016131A" w:rsidP="0016131A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26.maijā</w:t>
      </w:r>
      <w:r>
        <w:rPr>
          <w:color w:val="000000"/>
          <w:lang w:val="lv-LV"/>
        </w:rPr>
        <w:t xml:space="preserve"> </w:t>
      </w:r>
    </w:p>
    <w:p w:rsidR="0016131A" w:rsidRDefault="0016131A" w:rsidP="0016131A">
      <w:pPr>
        <w:ind w:right="-1054"/>
        <w:rPr>
          <w:lang w:val="lv-LV"/>
        </w:rPr>
      </w:pPr>
    </w:p>
    <w:p w:rsidR="0016131A" w:rsidRDefault="0016131A" w:rsidP="0016131A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Daugavas aizsargdambja ceļa seguma atjaunošana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6131A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39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</w:p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13.05</w:t>
            </w:r>
            <w:r>
              <w:rPr>
                <w:lang w:val="lv-LV"/>
              </w:rPr>
              <w:t>.2016.</w:t>
            </w:r>
          </w:p>
        </w:tc>
      </w:tr>
    </w:tbl>
    <w:p w:rsidR="0016131A" w:rsidRDefault="0016131A" w:rsidP="0016131A">
      <w:pPr>
        <w:pStyle w:val="Heading1"/>
      </w:pPr>
    </w:p>
    <w:p w:rsidR="0016131A" w:rsidRDefault="0016131A" w:rsidP="0016131A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4111"/>
        <w:gridCol w:w="1857"/>
      </w:tblGrid>
      <w:tr w:rsidR="0016131A" w:rsidTr="0016131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6131A">
            <w:pPr>
              <w:pStyle w:val="ListParagraph"/>
              <w:numPr>
                <w:ilvl w:val="0"/>
                <w:numId w:val="1"/>
              </w:numPr>
              <w:ind w:left="317" w:right="-108"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SIA “OŠUKALNS”</w:t>
            </w:r>
          </w:p>
          <w:p w:rsidR="0016131A" w:rsidRPr="0016131A" w:rsidRDefault="0016131A" w:rsidP="0016131A">
            <w:pPr>
              <w:pStyle w:val="ListParagraph"/>
              <w:numPr>
                <w:ilvl w:val="0"/>
                <w:numId w:val="1"/>
              </w:numPr>
              <w:ind w:left="317" w:right="-108" w:firstLine="0"/>
              <w:jc w:val="center"/>
              <w:rPr>
                <w:lang w:val="lv-LV"/>
              </w:rPr>
            </w:pPr>
            <w:r w:rsidRPr="0016131A">
              <w:rPr>
                <w:lang w:val="lv-LV"/>
              </w:rPr>
              <w:t>S</w:t>
            </w:r>
            <w:r w:rsidRPr="0016131A">
              <w:rPr>
                <w:lang w:val="lv-LV"/>
              </w:rPr>
              <w:t>IA “</w:t>
            </w:r>
            <w:r w:rsidRPr="0016131A">
              <w:rPr>
                <w:lang w:val="lv-LV"/>
              </w:rPr>
              <w:t>SALDUS CEĻINIEKS</w:t>
            </w:r>
            <w:r w:rsidRPr="0016131A">
              <w:rPr>
                <w:lang w:val="lv-LV"/>
              </w:rPr>
              <w:t>”</w:t>
            </w:r>
          </w:p>
          <w:p w:rsidR="0016131A" w:rsidRPr="0016131A" w:rsidRDefault="0016131A" w:rsidP="0016131A">
            <w:pPr>
              <w:pStyle w:val="ListParagraph"/>
              <w:numPr>
                <w:ilvl w:val="0"/>
                <w:numId w:val="1"/>
              </w:numPr>
              <w:ind w:left="317" w:right="-108"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SIA “Krustpils”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21 349,89</w:t>
            </w:r>
          </w:p>
          <w:p w:rsidR="0016131A" w:rsidRDefault="0016131A" w:rsidP="001803F9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18 827,81</w:t>
            </w:r>
          </w:p>
          <w:p w:rsidR="0016131A" w:rsidRDefault="0016131A" w:rsidP="0016131A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15 777,70</w:t>
            </w:r>
          </w:p>
        </w:tc>
      </w:tr>
      <w:tr w:rsidR="0016131A" w:rsidTr="0016131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16131A" w:rsidRDefault="0016131A" w:rsidP="001803F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Pr="0016131A" w:rsidRDefault="0016131A" w:rsidP="0016131A">
            <w:pPr>
              <w:pStyle w:val="ListParagraph"/>
              <w:numPr>
                <w:ilvl w:val="0"/>
                <w:numId w:val="4"/>
              </w:numPr>
              <w:ind w:left="176" w:firstLine="0"/>
              <w:rPr>
                <w:lang w:val="lv-LV"/>
              </w:rPr>
            </w:pPr>
            <w:r w:rsidRPr="0016131A">
              <w:rPr>
                <w:lang w:val="lv-LV"/>
              </w:rPr>
              <w:t xml:space="preserve">SIA “OŠUKALNS” - </w:t>
            </w:r>
            <w:r w:rsidRPr="0016131A">
              <w:rPr>
                <w:lang w:val="lv-LV"/>
              </w:rPr>
              <w:t>likuma "Par interešu konflikta novēršanu valsts amatpersonu darbībā" 10.panta ceturtā daļa, sestā daļa</w:t>
            </w:r>
            <w:r w:rsidRPr="0016131A">
              <w:rPr>
                <w:lang w:val="lv-LV"/>
              </w:rPr>
              <w:t>,</w:t>
            </w:r>
            <w:r w:rsidRPr="0016131A">
              <w:rPr>
                <w:lang w:val="lv-LV"/>
              </w:rPr>
              <w:t xml:space="preserve"> 11.panta pirmā daļa.</w:t>
            </w:r>
          </w:p>
          <w:p w:rsidR="0016131A" w:rsidRPr="0016131A" w:rsidRDefault="0016131A" w:rsidP="0016131A">
            <w:pPr>
              <w:pStyle w:val="ListParagraph"/>
              <w:numPr>
                <w:ilvl w:val="0"/>
                <w:numId w:val="4"/>
              </w:numPr>
              <w:ind w:left="176" w:right="43" w:firstLine="0"/>
              <w:jc w:val="both"/>
              <w:rPr>
                <w:lang w:val="lv-LV"/>
              </w:rPr>
            </w:pPr>
            <w:r w:rsidRPr="0016131A">
              <w:rPr>
                <w:lang w:val="lv-LV"/>
              </w:rPr>
              <w:t xml:space="preserve">SIA “Saldus ceļinieks” </w:t>
            </w:r>
            <w:r w:rsidRPr="0016131A">
              <w:rPr>
                <w:lang w:val="lv-LV"/>
              </w:rPr>
              <w:t>- piedāvājum</w:t>
            </w:r>
            <w:r w:rsidRPr="0016131A">
              <w:rPr>
                <w:lang w:val="lv-LV"/>
              </w:rPr>
              <w:t>s</w:t>
            </w:r>
            <w:r w:rsidRPr="0016131A">
              <w:rPr>
                <w:lang w:val="lv-LV"/>
              </w:rPr>
              <w:t xml:space="preserve"> </w:t>
            </w:r>
            <w:r w:rsidRPr="0016131A">
              <w:rPr>
                <w:color w:val="000000"/>
                <w:szCs w:val="22"/>
                <w:lang w:val="lv-LV"/>
              </w:rPr>
              <w:t>nav ar viszemāko piedāvāto līgumcenu, kas atbilst publiskā iepirkuma nolikuma (turpmāk - Nolikums)  prasībām</w:t>
            </w:r>
          </w:p>
        </w:tc>
      </w:tr>
    </w:tbl>
    <w:p w:rsidR="0016131A" w:rsidRDefault="0016131A" w:rsidP="0016131A">
      <w:pPr>
        <w:ind w:left="360" w:right="-1054"/>
        <w:rPr>
          <w:b/>
          <w:bCs/>
          <w:lang w:val="lv-LV"/>
        </w:rPr>
      </w:pPr>
    </w:p>
    <w:p w:rsidR="0016131A" w:rsidRDefault="0016131A" w:rsidP="0016131A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16131A" w:rsidTr="001803F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</w:p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SIA “Krustpils”</w:t>
            </w:r>
          </w:p>
        </w:tc>
      </w:tr>
      <w:tr w:rsidR="0016131A" w:rsidTr="001803F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16131A" w:rsidRDefault="0016131A" w:rsidP="001803F9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15 777,70</w:t>
            </w:r>
          </w:p>
        </w:tc>
      </w:tr>
      <w:tr w:rsidR="0016131A" w:rsidTr="001803F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16131A" w:rsidTr="001803F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6131A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 xml:space="preserve">15 777,70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16131A" w:rsidTr="001803F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13.05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127</w:t>
            </w:r>
          </w:p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25</w:t>
            </w:r>
            <w:r>
              <w:rPr>
                <w:lang w:val="lv-LV"/>
              </w:rPr>
              <w:t>.05.2016. Piedāvājumu atvēršanas sanāksmes protokols Nr. 1</w:t>
            </w:r>
            <w:r>
              <w:rPr>
                <w:lang w:val="lv-LV"/>
              </w:rPr>
              <w:t>4</w:t>
            </w:r>
            <w:r>
              <w:rPr>
                <w:lang w:val="lv-LV"/>
              </w:rPr>
              <w:t>3</w:t>
            </w:r>
          </w:p>
          <w:p w:rsidR="0016131A" w:rsidRDefault="0016131A" w:rsidP="0016131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26</w:t>
            </w:r>
            <w:r>
              <w:rPr>
                <w:lang w:val="lv-LV"/>
              </w:rPr>
              <w:t>.05.2016. Piedāvājumu vērtēšanas sēdes protokols Nr. 1</w:t>
            </w:r>
            <w:r>
              <w:rPr>
                <w:lang w:val="lv-LV"/>
              </w:rPr>
              <w:t>47</w:t>
            </w:r>
          </w:p>
        </w:tc>
      </w:tr>
    </w:tbl>
    <w:p w:rsidR="0016131A" w:rsidRDefault="0016131A" w:rsidP="0016131A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6131A" w:rsidTr="001803F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16131A" w:rsidRDefault="0016131A" w:rsidP="0016131A"/>
    <w:p w:rsidR="0016131A" w:rsidRDefault="0016131A" w:rsidP="0016131A">
      <w:pPr>
        <w:ind w:left="360" w:right="-1054" w:hanging="360"/>
        <w:rPr>
          <w:b/>
          <w:bCs/>
          <w:lang w:val="lv-LV"/>
        </w:rPr>
      </w:pPr>
    </w:p>
    <w:p w:rsidR="0016131A" w:rsidRDefault="0016131A" w:rsidP="00161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16131A" w:rsidRDefault="0016131A" w:rsidP="00161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6131A" w:rsidRDefault="0016131A" w:rsidP="00161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16131A" w:rsidRDefault="0016131A" w:rsidP="0016131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16131A" w:rsidRDefault="0016131A" w:rsidP="0016131A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16131A" w:rsidRDefault="0016131A" w:rsidP="0016131A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16131A" w:rsidRDefault="0016131A" w:rsidP="0016131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16131A" w:rsidRDefault="0016131A" w:rsidP="0016131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3441ED" w:rsidRDefault="0016131A" w:rsidP="0016131A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sectPr w:rsidR="003441ED" w:rsidSect="00F535D5">
      <w:footerReference w:type="even" r:id="rId6"/>
      <w:footerReference w:type="default" r:id="rId7"/>
      <w:pgSz w:w="11906" w:h="16838"/>
      <w:pgMar w:top="1079" w:right="1800" w:bottom="709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C86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C863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C86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C863A1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29D"/>
    <w:multiLevelType w:val="hybridMultilevel"/>
    <w:tmpl w:val="6B1A1C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311B174D"/>
    <w:multiLevelType w:val="hybridMultilevel"/>
    <w:tmpl w:val="83CEEDFA"/>
    <w:lvl w:ilvl="0" w:tplc="FBCEC2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1A"/>
    <w:rsid w:val="000604EE"/>
    <w:rsid w:val="0016131A"/>
    <w:rsid w:val="003441ED"/>
    <w:rsid w:val="00B340BD"/>
    <w:rsid w:val="00C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09C4B-3111-4B26-9B0F-6EE97EDB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1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6131A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6131A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16131A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31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6131A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16131A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16131A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6131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16131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1613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6131A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16131A"/>
  </w:style>
  <w:style w:type="paragraph" w:styleId="Header">
    <w:name w:val="header"/>
    <w:basedOn w:val="Normal"/>
    <w:link w:val="HeaderChar"/>
    <w:semiHidden/>
    <w:rsid w:val="001613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6131A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16131A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6131A"/>
    <w:rPr>
      <w:rFonts w:eastAsia="Times New Rom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61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1778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2016-05-26T11:55:00Z</dcterms:created>
  <dcterms:modified xsi:type="dcterms:W3CDTF">2016-05-26T12:04:00Z</dcterms:modified>
</cp:coreProperties>
</file>