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D1" w:rsidRDefault="008E10D1" w:rsidP="008E10D1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2FF80779" wp14:editId="59436A0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D1" w:rsidRPr="0036267C" w:rsidRDefault="008E10D1" w:rsidP="008E10D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8E10D1" w:rsidRDefault="008E10D1" w:rsidP="008E10D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E10D1" w:rsidRDefault="008E10D1" w:rsidP="008E10D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E10D1" w:rsidRDefault="008E10D1" w:rsidP="008E10D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E10D1" w:rsidRDefault="008E10D1" w:rsidP="008E10D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E10D1" w:rsidRDefault="008E10D1" w:rsidP="008E10D1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E10D1" w:rsidRDefault="008E10D1" w:rsidP="008E10D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E10D1" w:rsidRDefault="008E10D1" w:rsidP="008E10D1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19.aprīlī</w:t>
      </w:r>
      <w:r>
        <w:rPr>
          <w:color w:val="000000"/>
          <w:lang w:val="lv-LV"/>
        </w:rPr>
        <w:t xml:space="preserve"> </w:t>
      </w:r>
    </w:p>
    <w:p w:rsidR="008E10D1" w:rsidRDefault="008E10D1" w:rsidP="008E10D1">
      <w:pPr>
        <w:ind w:right="-1054"/>
        <w:rPr>
          <w:lang w:val="lv-LV"/>
        </w:rPr>
      </w:pPr>
    </w:p>
    <w:p w:rsidR="008E10D1" w:rsidRDefault="008E10D1" w:rsidP="008E10D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8E10D1">
            <w:pPr>
              <w:rPr>
                <w:lang w:val="lv-LV"/>
              </w:rPr>
            </w:pPr>
            <w:r>
              <w:rPr>
                <w:lang w:val="lv-LV"/>
              </w:rPr>
              <w:t xml:space="preserve">Jēkabpils </w:t>
            </w:r>
            <w:proofErr w:type="spellStart"/>
            <w:r>
              <w:rPr>
                <w:lang w:val="lv-LV"/>
              </w:rPr>
              <w:t>skeitparka</w:t>
            </w:r>
            <w:proofErr w:type="spellEnd"/>
            <w:r>
              <w:rPr>
                <w:lang w:val="lv-LV"/>
              </w:rPr>
              <w:t xml:space="preserve"> rampu remontdarbi Brīvības ielā 289, Jēkabpilī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8E10D1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20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</w:p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29.03.</w:t>
            </w:r>
            <w:r>
              <w:rPr>
                <w:lang w:val="lv-LV"/>
              </w:rPr>
              <w:t>2016.</w:t>
            </w:r>
          </w:p>
        </w:tc>
      </w:tr>
    </w:tbl>
    <w:p w:rsidR="008E10D1" w:rsidRDefault="008E10D1" w:rsidP="008E10D1">
      <w:pPr>
        <w:pStyle w:val="Heading1"/>
      </w:pPr>
    </w:p>
    <w:p w:rsidR="008E10D1" w:rsidRDefault="008E10D1" w:rsidP="008E10D1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8E10D1" w:rsidRDefault="008E10D1" w:rsidP="00E4163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8E10D1" w:rsidRDefault="008E10D1" w:rsidP="00E4163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8E10D1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LC būve</w:t>
            </w:r>
            <w:r>
              <w:rPr>
                <w:lang w:val="lv-LV"/>
              </w:rPr>
              <w:t>”</w:t>
            </w:r>
          </w:p>
          <w:p w:rsidR="008E10D1" w:rsidRPr="00032010" w:rsidRDefault="008E10D1" w:rsidP="008E10D1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Erbauer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group</w:t>
            </w:r>
            <w:proofErr w:type="spellEnd"/>
            <w:r>
              <w:rPr>
                <w:lang w:val="lv-LV"/>
              </w:rPr>
              <w:t>”</w:t>
            </w:r>
          </w:p>
          <w:p w:rsidR="008E10D1" w:rsidRPr="008E10D1" w:rsidRDefault="008E10D1" w:rsidP="008E10D1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032010"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 xml:space="preserve"> celtniecība</w:t>
            </w:r>
            <w:r w:rsidRPr="00032010"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27 826,65</w:t>
            </w:r>
          </w:p>
          <w:p w:rsidR="008E10D1" w:rsidRDefault="008E10D1" w:rsidP="00E41638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24 742,15</w:t>
            </w:r>
          </w:p>
          <w:p w:rsidR="008E10D1" w:rsidRDefault="008E10D1" w:rsidP="008E10D1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24 032,54</w:t>
            </w:r>
          </w:p>
        </w:tc>
      </w:tr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E10D1" w:rsidRDefault="008E10D1" w:rsidP="00E4163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Pr="003C52C2" w:rsidRDefault="008E10D1" w:rsidP="008E10D1">
            <w:p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LC būve</w:t>
            </w:r>
            <w:r>
              <w:rPr>
                <w:lang w:val="lv-LV"/>
              </w:rPr>
              <w:t>”</w:t>
            </w:r>
            <w:r>
              <w:rPr>
                <w:lang w:val="lv-LV"/>
              </w:rPr>
              <w:t xml:space="preserve"> un SIA “</w:t>
            </w:r>
            <w:proofErr w:type="spellStart"/>
            <w:r>
              <w:rPr>
                <w:lang w:val="lv-LV"/>
              </w:rPr>
              <w:t>Erbauer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group</w:t>
            </w:r>
            <w:proofErr w:type="spellEnd"/>
            <w:r>
              <w:rPr>
                <w:lang w:val="lv-LV"/>
              </w:rPr>
              <w:t>”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–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piedāvājumi nav ar viszemāko piedāvāto līgumcenu, kas atbilst publiskā iepirkuma nolikuma prasībām</w:t>
            </w:r>
          </w:p>
        </w:tc>
      </w:tr>
    </w:tbl>
    <w:p w:rsidR="008E10D1" w:rsidRDefault="008E10D1" w:rsidP="008E10D1">
      <w:pPr>
        <w:ind w:left="360" w:right="-1054"/>
        <w:rPr>
          <w:b/>
          <w:bCs/>
          <w:lang w:val="lv-LV"/>
        </w:rPr>
      </w:pPr>
    </w:p>
    <w:p w:rsidR="008E10D1" w:rsidRDefault="008E10D1" w:rsidP="008E10D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</w:p>
          <w:p w:rsidR="008E10D1" w:rsidRDefault="008E10D1" w:rsidP="008E10D1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 xml:space="preserve"> celtniecība</w:t>
            </w:r>
            <w:r>
              <w:rPr>
                <w:lang w:val="lv-LV"/>
              </w:rPr>
              <w:t>”</w:t>
            </w:r>
          </w:p>
        </w:tc>
      </w:tr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8E10D1" w:rsidRDefault="008E10D1" w:rsidP="00E4163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8E10D1" w:rsidRDefault="008E10D1" w:rsidP="00E4163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24 032,54</w:t>
            </w:r>
          </w:p>
        </w:tc>
      </w:tr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8E10D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24 032,54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8E10D1" w:rsidTr="00E4163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29.03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69</w:t>
            </w:r>
          </w:p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11.04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80</w:t>
            </w:r>
          </w:p>
          <w:p w:rsidR="008E10D1" w:rsidRDefault="008E10D1" w:rsidP="008E10D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19.04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88</w:t>
            </w:r>
          </w:p>
        </w:tc>
      </w:tr>
    </w:tbl>
    <w:p w:rsidR="008E10D1" w:rsidRDefault="008E10D1" w:rsidP="008E10D1">
      <w:pPr>
        <w:ind w:left="360" w:right="-1054" w:hanging="360"/>
        <w:rPr>
          <w:b/>
          <w:bCs/>
          <w:lang w:val="lv-LV"/>
        </w:rPr>
      </w:pPr>
    </w:p>
    <w:p w:rsidR="008E10D1" w:rsidRDefault="008E10D1" w:rsidP="008E10D1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E10D1" w:rsidTr="00E4163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8E10D1" w:rsidRDefault="008E10D1" w:rsidP="008E10D1"/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8E10D1" w:rsidRDefault="008E10D1" w:rsidP="008E10D1"/>
    <w:p w:rsidR="008E10D1" w:rsidRDefault="008E10D1" w:rsidP="008E10D1">
      <w:pPr>
        <w:pStyle w:val="Heading2"/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Pārtraukšanas pamatojums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S</w:t>
            </w:r>
            <w:r w:rsidRPr="00467E0E">
              <w:rPr>
                <w:color w:val="000000"/>
                <w:lang w:val="lv-LV"/>
              </w:rPr>
              <w:t>ākotnēji plānoto ielu pārbūves darbu nepieciešamo finanšu līdzekļu nepietiekamīb</w:t>
            </w:r>
            <w:r>
              <w:rPr>
                <w:color w:val="000000"/>
                <w:lang w:val="lv-LV"/>
              </w:rPr>
              <w:t>a</w:t>
            </w:r>
            <w:r w:rsidRPr="00467E0E">
              <w:rPr>
                <w:color w:val="000000"/>
                <w:lang w:val="lv-LV"/>
              </w:rPr>
              <w:t xml:space="preserve"> Jēkabpils pilsētas 2016.gada budžetā</w:t>
            </w:r>
            <w:r>
              <w:rPr>
                <w:color w:val="000000"/>
                <w:lang w:val="lv-LV"/>
              </w:rPr>
              <w:t xml:space="preserve"> (</w:t>
            </w:r>
            <w:r>
              <w:rPr>
                <w:lang w:val="lv-LV"/>
              </w:rPr>
              <w:t>Publisko iepirkumu likuma 8.² panta vienpadsmitā daļa)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8E10D1" w:rsidTr="00E4163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14.01.2016. Pašvaldības iepirkumu komisijas sēdes protokols Nr. 12</w:t>
            </w:r>
          </w:p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25.01.2016. Pašvaldības iepirkumu komisijas sēdes protokols Nr. 21</w:t>
            </w:r>
          </w:p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08.02.2016. Piedāvājumu atvēršanas sanāksmes protokols Nr. 30</w:t>
            </w:r>
          </w:p>
          <w:p w:rsidR="008E10D1" w:rsidRDefault="008E10D1" w:rsidP="00E41638">
            <w:pPr>
              <w:rPr>
                <w:lang w:val="lv-LV"/>
              </w:rPr>
            </w:pPr>
            <w:r>
              <w:rPr>
                <w:lang w:val="lv-LV"/>
              </w:rPr>
              <w:t>10.02.2016. Pašvaldības iepirkumu komisijas sēdes protokols Nr. 32</w:t>
            </w:r>
          </w:p>
        </w:tc>
      </w:tr>
    </w:tbl>
    <w:p w:rsidR="008E10D1" w:rsidRDefault="008E10D1" w:rsidP="008E10D1">
      <w:pPr>
        <w:ind w:left="360" w:right="-1054" w:hanging="360"/>
        <w:rPr>
          <w:b/>
          <w:bCs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E10D1" w:rsidRDefault="008E10D1" w:rsidP="008E10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8E10D1" w:rsidRDefault="008E10D1" w:rsidP="008E10D1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8E10D1" w:rsidRDefault="008E10D1" w:rsidP="008E10D1">
      <w:pPr>
        <w:pStyle w:val="xl23"/>
        <w:widowControl/>
        <w:suppressAutoHyphens w:val="0"/>
        <w:spacing w:before="0" w:after="0"/>
        <w:ind w:right="-1054"/>
      </w:pPr>
    </w:p>
    <w:p w:rsidR="003441ED" w:rsidRDefault="003441ED"/>
    <w:sectPr w:rsidR="003441ED" w:rsidSect="008E10D1">
      <w:footerReference w:type="even" r:id="rId6"/>
      <w:footerReference w:type="default" r:id="rId7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8E10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8E10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8E10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8E10D1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1"/>
    <w:rsid w:val="000604EE"/>
    <w:rsid w:val="003441ED"/>
    <w:rsid w:val="008E10D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9B3E9-E1A5-4A9C-8052-1B006DEE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D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E10D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E10D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8E10D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0D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E10D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8E10D1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8E10D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E10D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E10D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E10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E10D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E10D1"/>
  </w:style>
  <w:style w:type="paragraph" w:styleId="BalloonText">
    <w:name w:val="Balloon Text"/>
    <w:basedOn w:val="Normal"/>
    <w:link w:val="BalloonTextChar"/>
    <w:uiPriority w:val="99"/>
    <w:semiHidden/>
    <w:unhideWhenUsed/>
    <w:rsid w:val="008E1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D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semiHidden/>
    <w:rsid w:val="008E10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E10D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8E10D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E10D1"/>
    <w:rPr>
      <w:rFonts w:eastAsia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E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2114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2016-04-20T06:23:00Z</dcterms:created>
  <dcterms:modified xsi:type="dcterms:W3CDTF">2016-04-20T06:32:00Z</dcterms:modified>
</cp:coreProperties>
</file>