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C4" w:rsidRDefault="008324C4" w:rsidP="008324C4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32429CC0" wp14:editId="40844DE9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C4" w:rsidRPr="0036267C" w:rsidRDefault="008324C4" w:rsidP="008324C4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8324C4" w:rsidRDefault="008324C4" w:rsidP="008324C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324C4" w:rsidRDefault="008324C4" w:rsidP="008324C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324C4" w:rsidRDefault="008324C4" w:rsidP="008324C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324C4" w:rsidRDefault="008324C4" w:rsidP="008324C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324C4" w:rsidRDefault="008324C4" w:rsidP="008324C4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8324C4" w:rsidRDefault="008324C4" w:rsidP="008324C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8324C4" w:rsidRDefault="008324C4" w:rsidP="008324C4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6</w:t>
      </w:r>
      <w:r>
        <w:rPr>
          <w:lang w:val="lv-LV"/>
        </w:rPr>
        <w:t xml:space="preserve">.gada </w:t>
      </w:r>
      <w:r>
        <w:rPr>
          <w:lang w:val="lv-LV"/>
        </w:rPr>
        <w:t>14.janvārī</w:t>
      </w:r>
      <w:r>
        <w:rPr>
          <w:color w:val="000000"/>
          <w:lang w:val="lv-LV"/>
        </w:rPr>
        <w:t xml:space="preserve"> </w:t>
      </w:r>
    </w:p>
    <w:p w:rsidR="008324C4" w:rsidRDefault="008324C4" w:rsidP="008324C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8324C4">
            <w:pPr>
              <w:rPr>
                <w:lang w:val="lv-LV"/>
              </w:rPr>
            </w:pPr>
            <w:r>
              <w:rPr>
                <w:lang w:val="lv-LV"/>
              </w:rPr>
              <w:t>Būvprojekta “</w:t>
            </w:r>
            <w:r>
              <w:rPr>
                <w:lang w:val="lv-LV"/>
              </w:rPr>
              <w:t>Pasta</w:t>
            </w:r>
            <w:r>
              <w:rPr>
                <w:lang w:val="lv-LV"/>
              </w:rPr>
              <w:t xml:space="preserve"> ielas pārbūve Jēkabpilī”</w:t>
            </w:r>
            <w:r>
              <w:rPr>
                <w:lang w:val="lv-LV"/>
              </w:rPr>
              <w:t xml:space="preserve"> izstrāde un autoruzraudzība</w:t>
            </w:r>
            <w:r w:rsidR="003359FE">
              <w:rPr>
                <w:lang w:val="lv-LV"/>
              </w:rPr>
              <w:t>:</w:t>
            </w:r>
          </w:p>
          <w:p w:rsidR="003359FE" w:rsidRDefault="003359FE" w:rsidP="008324C4">
            <w:pPr>
              <w:rPr>
                <w:lang w:val="lv-LV"/>
              </w:rPr>
            </w:pPr>
            <w:r>
              <w:rPr>
                <w:lang w:val="lv-LV"/>
              </w:rPr>
              <w:t xml:space="preserve">1.daļa : </w:t>
            </w:r>
            <w:r>
              <w:rPr>
                <w:lang w:val="lv-LV"/>
              </w:rPr>
              <w:t>Būvprojekta “Pasta ielas pārbūve Jēkabpilī” izstrāde</w:t>
            </w:r>
          </w:p>
          <w:p w:rsidR="003359FE" w:rsidRDefault="003359FE" w:rsidP="003359FE">
            <w:pPr>
              <w:rPr>
                <w:lang w:val="lv-LV"/>
              </w:rPr>
            </w:pPr>
            <w:r>
              <w:rPr>
                <w:lang w:val="lv-LV"/>
              </w:rPr>
              <w:t xml:space="preserve">2.daļa: </w:t>
            </w:r>
            <w:r>
              <w:rPr>
                <w:lang w:val="lv-LV"/>
              </w:rPr>
              <w:t xml:space="preserve">Būvprojekta “Pasta ielas pārbūve Jēkabpilī” </w:t>
            </w:r>
            <w:r>
              <w:rPr>
                <w:lang w:val="lv-LV"/>
              </w:rPr>
              <w:t>īstenošanas autoruzraudzība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8324C4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61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</w:p>
          <w:p w:rsidR="008324C4" w:rsidRDefault="008324C4" w:rsidP="008324C4">
            <w:pPr>
              <w:rPr>
                <w:lang w:val="lv-LV"/>
              </w:rPr>
            </w:pPr>
            <w:r>
              <w:rPr>
                <w:lang w:val="lv-LV"/>
              </w:rPr>
              <w:t>30.12.2015</w:t>
            </w:r>
            <w:r>
              <w:rPr>
                <w:lang w:val="lv-LV"/>
              </w:rPr>
              <w:t>.</w:t>
            </w:r>
          </w:p>
        </w:tc>
      </w:tr>
    </w:tbl>
    <w:p w:rsidR="008324C4" w:rsidRDefault="008324C4" w:rsidP="008324C4">
      <w:pPr>
        <w:pStyle w:val="Heading1"/>
      </w:pPr>
    </w:p>
    <w:p w:rsidR="008324C4" w:rsidRDefault="008324C4" w:rsidP="008324C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4394"/>
        <w:gridCol w:w="1998"/>
      </w:tblGrid>
      <w:tr w:rsidR="008324C4" w:rsidTr="000C1743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8324C4" w:rsidRDefault="008324C4" w:rsidP="000C1743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8324C4" w:rsidRDefault="008324C4" w:rsidP="000C174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8324C4" w:rsidRDefault="008324C4" w:rsidP="000C174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“Projektēšanas birojs AUSTRUMI”</w:t>
            </w:r>
          </w:p>
          <w:p w:rsidR="008324C4" w:rsidRDefault="008324C4" w:rsidP="000C1743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</w:t>
            </w:r>
            <w:r>
              <w:rPr>
                <w:color w:val="000000"/>
                <w:lang w:val="lv-LV"/>
              </w:rPr>
              <w:t>AS</w:t>
            </w:r>
            <w:r>
              <w:rPr>
                <w:color w:val="000000"/>
                <w:lang w:val="lv-LV"/>
              </w:rPr>
              <w:t xml:space="preserve"> “</w:t>
            </w:r>
            <w:r>
              <w:rPr>
                <w:color w:val="000000"/>
                <w:lang w:val="lv-LV"/>
              </w:rPr>
              <w:t>Ceļu inženieri</w:t>
            </w:r>
            <w:r>
              <w:rPr>
                <w:color w:val="000000"/>
                <w:lang w:val="lv-LV"/>
              </w:rPr>
              <w:t>”</w:t>
            </w:r>
          </w:p>
          <w:p w:rsidR="003D0ADC" w:rsidRDefault="008324C4" w:rsidP="003D0ADC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</w:t>
            </w:r>
            <w:proofErr w:type="spellStart"/>
            <w:r>
              <w:rPr>
                <w:color w:val="000000"/>
                <w:lang w:val="lv-LV"/>
              </w:rPr>
              <w:t>Būvmetrs</w:t>
            </w:r>
            <w:proofErr w:type="spellEnd"/>
            <w:r>
              <w:rPr>
                <w:color w:val="000000"/>
                <w:lang w:val="lv-LV"/>
              </w:rPr>
              <w:t xml:space="preserve">”   </w:t>
            </w:r>
          </w:p>
          <w:p w:rsidR="008324C4" w:rsidRDefault="008324C4" w:rsidP="003D0ADC">
            <w:pPr>
              <w:ind w:left="-108" w:right="-108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 </w:t>
            </w:r>
            <w:r w:rsidR="003D0ADC">
              <w:rPr>
                <w:color w:val="000000"/>
                <w:lang w:val="lv-LV"/>
              </w:rPr>
              <w:t>4) SIA “SKA projekts”</w:t>
            </w:r>
            <w:r>
              <w:rPr>
                <w:color w:val="000000"/>
                <w:lang w:val="lv-LV"/>
              </w:rPr>
              <w:t xml:space="preserve">                                                            </w:t>
            </w:r>
            <w:r w:rsidR="003D0ADC"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r w:rsidR="003D0ADC">
              <w:rPr>
                <w:lang w:val="lv-LV"/>
              </w:rPr>
              <w:t xml:space="preserve">               </w:t>
            </w:r>
            <w:r>
              <w:rPr>
                <w:lang w:val="lv-LV"/>
              </w:rPr>
              <w:t xml:space="preserve"> </w:t>
            </w:r>
          </w:p>
          <w:p w:rsidR="008324C4" w:rsidRDefault="003D0ADC" w:rsidP="003D0ADC">
            <w:pPr>
              <w:rPr>
                <w:color w:val="000000"/>
                <w:lang w:val="lv-LV"/>
              </w:rPr>
            </w:pPr>
            <w:r>
              <w:rPr>
                <w:lang w:val="lv-LV"/>
              </w:rPr>
              <w:t>5) SIA “K-RDB”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1) </w:t>
            </w:r>
            <w:r>
              <w:rPr>
                <w:color w:val="000000"/>
                <w:sz w:val="24"/>
                <w:lang w:val="lv-LV"/>
              </w:rPr>
              <w:t>25 650,00</w:t>
            </w:r>
          </w:p>
          <w:p w:rsidR="008324C4" w:rsidRDefault="008324C4" w:rsidP="000C1743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2) </w:t>
            </w:r>
            <w:r>
              <w:rPr>
                <w:color w:val="000000"/>
                <w:sz w:val="24"/>
                <w:lang w:val="lv-LV"/>
              </w:rPr>
              <w:t>41 700,00</w:t>
            </w:r>
          </w:p>
          <w:p w:rsidR="008324C4" w:rsidRDefault="008324C4" w:rsidP="000C1743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3) </w:t>
            </w:r>
            <w:r>
              <w:rPr>
                <w:color w:val="000000"/>
                <w:sz w:val="24"/>
                <w:lang w:val="lv-LV"/>
              </w:rPr>
              <w:t>15 000,00</w:t>
            </w:r>
          </w:p>
          <w:p w:rsidR="008324C4" w:rsidRDefault="008324C4" w:rsidP="000C1743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4) </w:t>
            </w:r>
            <w:r w:rsidR="003D0ADC">
              <w:rPr>
                <w:color w:val="000000"/>
                <w:sz w:val="24"/>
                <w:lang w:val="lv-LV"/>
              </w:rPr>
              <w:t>24 186,98</w:t>
            </w:r>
          </w:p>
          <w:p w:rsidR="003D0ADC" w:rsidRDefault="003D0ADC" w:rsidP="003D0ADC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5) 35 203,60</w:t>
            </w:r>
          </w:p>
        </w:tc>
      </w:tr>
      <w:tr w:rsidR="008324C4" w:rsidTr="000C1743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8324C4" w:rsidRDefault="008324C4" w:rsidP="000C1743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DC" w:rsidRDefault="008324C4" w:rsidP="003D0ADC">
            <w:pPr>
              <w:ind w:right="43"/>
              <w:jc w:val="both"/>
              <w:rPr>
                <w:color w:val="000000"/>
                <w:szCs w:val="22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1) SIA “</w:t>
            </w:r>
            <w:r>
              <w:rPr>
                <w:color w:val="000000" w:themeColor="text1"/>
                <w:lang w:val="lv-LV"/>
              </w:rPr>
              <w:t>Projektēšanas birojs AUSTRUMI</w:t>
            </w:r>
            <w:r w:rsidRPr="00DF30A1">
              <w:rPr>
                <w:color w:val="000000" w:themeColor="text1"/>
                <w:lang w:val="lv-LV"/>
              </w:rPr>
              <w:t xml:space="preserve">” </w:t>
            </w:r>
            <w:r>
              <w:rPr>
                <w:color w:val="000000" w:themeColor="text1"/>
                <w:lang w:val="lv-LV"/>
              </w:rPr>
              <w:t xml:space="preserve">– </w:t>
            </w:r>
            <w:r w:rsidR="003D0ADC">
              <w:rPr>
                <w:color w:val="000000" w:themeColor="text1"/>
                <w:lang w:val="lv-LV"/>
              </w:rPr>
              <w:t xml:space="preserve">nav saimnieciski visizdevīgākais </w:t>
            </w:r>
            <w:r>
              <w:rPr>
                <w:color w:val="000000"/>
                <w:szCs w:val="22"/>
                <w:lang w:val="lv-LV"/>
              </w:rPr>
              <w:t>piedāvājums</w:t>
            </w:r>
            <w:r w:rsidR="003D0ADC">
              <w:rPr>
                <w:color w:val="000000"/>
                <w:szCs w:val="22"/>
                <w:lang w:val="lv-LV"/>
              </w:rPr>
              <w:t>, kas atbilst publiskā iepirkuma nolikuma (turpmāk – Nolikums) prasībām (87,29 punkti)</w:t>
            </w:r>
          </w:p>
          <w:p w:rsidR="008324C4" w:rsidRDefault="008324C4" w:rsidP="003D0ADC">
            <w:pPr>
              <w:ind w:right="43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 xml:space="preserve"> </w:t>
            </w:r>
            <w:r w:rsidRPr="00DF30A1">
              <w:rPr>
                <w:color w:val="000000" w:themeColor="text1"/>
                <w:lang w:val="lv-LV"/>
              </w:rPr>
              <w:t xml:space="preserve">2) </w:t>
            </w:r>
            <w:r w:rsidR="003D0ADC">
              <w:rPr>
                <w:color w:val="000000" w:themeColor="text1"/>
                <w:lang w:val="lv-LV"/>
              </w:rPr>
              <w:t>SIA</w:t>
            </w:r>
            <w:r w:rsidRPr="00DF30A1">
              <w:rPr>
                <w:color w:val="000000" w:themeColor="text1"/>
                <w:lang w:val="lv-LV"/>
              </w:rPr>
              <w:t xml:space="preserve"> “</w:t>
            </w:r>
            <w:proofErr w:type="spellStart"/>
            <w:r w:rsidR="003D0ADC">
              <w:rPr>
                <w:color w:val="000000" w:themeColor="text1"/>
                <w:lang w:val="lv-LV"/>
              </w:rPr>
              <w:t>Būvmetrs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="003D0ADC">
              <w:rPr>
                <w:color w:val="000000" w:themeColor="text1"/>
                <w:lang w:val="lv-LV"/>
              </w:rPr>
              <w:t xml:space="preserve">piedāvājums </w:t>
            </w:r>
            <w:r w:rsidR="003D0ADC" w:rsidRPr="00615DD9">
              <w:rPr>
                <w:color w:val="000000"/>
                <w:szCs w:val="22"/>
                <w:u w:val="single"/>
                <w:lang w:val="lv-LV"/>
              </w:rPr>
              <w:t>ne</w:t>
            </w:r>
            <w:r w:rsidR="003D0ADC">
              <w:rPr>
                <w:color w:val="000000"/>
                <w:u w:val="single"/>
                <w:lang w:val="lv-LV"/>
              </w:rPr>
              <w:t>atbilst</w:t>
            </w:r>
            <w:r w:rsidR="003D0ADC">
              <w:rPr>
                <w:color w:val="000000"/>
                <w:lang w:val="lv-LV"/>
              </w:rPr>
              <w:t xml:space="preserve"> Nolikuma 2.pielikuma “Kvalifikācija” 1) 2.1.1.apakšpunktā noteiktajam – pretendentam nav pieredzes pilsētas ielas  vai ielas posma ar inženierkomunikācijām jaunas būvniecības vai pārbūves projektēšanā ar kopējo garumu vismaz 1,0 km; 2) 2.2.1.apakšpunktā noteiktajam - piedāvātajam būvprojekta vadītājam ceļu un ielu projektēšanā Kristapam </w:t>
            </w:r>
            <w:proofErr w:type="spellStart"/>
            <w:r w:rsidR="003D0ADC">
              <w:rPr>
                <w:color w:val="000000"/>
                <w:lang w:val="lv-LV"/>
              </w:rPr>
              <w:t>Lazdānam</w:t>
            </w:r>
            <w:proofErr w:type="spellEnd"/>
            <w:r w:rsidR="003D0ADC">
              <w:rPr>
                <w:color w:val="000000"/>
                <w:lang w:val="lv-LV"/>
              </w:rPr>
              <w:t xml:space="preserve"> nav pieredzes pilsētas ielas  vai ielas posma ar inženierkomunikācijām jaunas būvniecības vai pārbūves projektēšanā ar kopējo garumu vismaz 1,0 km; 3) 2.2.5.apakšpunktā noteiktajai prasībai – nav iesniegta </w:t>
            </w:r>
            <w:r w:rsidR="003D0ADC">
              <w:rPr>
                <w:color w:val="000000"/>
                <w:lang w:val="lv-LV"/>
              </w:rPr>
              <w:lastRenderedPageBreak/>
              <w:t xml:space="preserve">būvprojekta vadītāja Kristapa </w:t>
            </w:r>
            <w:proofErr w:type="spellStart"/>
            <w:r w:rsidR="003D0ADC">
              <w:rPr>
                <w:color w:val="000000"/>
                <w:lang w:val="lv-LV"/>
              </w:rPr>
              <w:t>Lazdāna</w:t>
            </w:r>
            <w:proofErr w:type="spellEnd"/>
            <w:r w:rsidR="003D0ADC">
              <w:rPr>
                <w:color w:val="000000"/>
                <w:lang w:val="lv-LV"/>
              </w:rPr>
              <w:t xml:space="preserve"> izglītības būvniecības specialitā</w:t>
            </w:r>
            <w:r w:rsidR="003D0ADC">
              <w:rPr>
                <w:color w:val="000000"/>
                <w:lang w:val="lv-LV"/>
              </w:rPr>
              <w:t>tē apliecināta dokumenta kopija</w:t>
            </w:r>
          </w:p>
          <w:p w:rsidR="003D0ADC" w:rsidRDefault="003D0ADC" w:rsidP="003D0ADC">
            <w:pPr>
              <w:ind w:right="43"/>
              <w:jc w:val="both"/>
              <w:rPr>
                <w:color w:val="000000"/>
                <w:szCs w:val="22"/>
                <w:lang w:val="lv-LV"/>
              </w:rPr>
            </w:pPr>
            <w:r>
              <w:rPr>
                <w:color w:val="000000"/>
                <w:lang w:val="lv-LV"/>
              </w:rPr>
              <w:t xml:space="preserve">3) SIA “SKA projekts” - </w:t>
            </w:r>
            <w:r>
              <w:rPr>
                <w:color w:val="000000" w:themeColor="text1"/>
                <w:lang w:val="lv-LV"/>
              </w:rPr>
              <w:t xml:space="preserve">nav saimnieciski visizdevīgākais </w:t>
            </w:r>
            <w:r>
              <w:rPr>
                <w:color w:val="000000"/>
                <w:szCs w:val="22"/>
                <w:lang w:val="lv-LV"/>
              </w:rPr>
              <w:t xml:space="preserve">piedāvājums, kas atbilst </w:t>
            </w:r>
            <w:r w:rsidR="003359FE">
              <w:rPr>
                <w:color w:val="000000"/>
                <w:szCs w:val="22"/>
                <w:lang w:val="lv-LV"/>
              </w:rPr>
              <w:t>Nolikuma</w:t>
            </w:r>
            <w:r>
              <w:rPr>
                <w:color w:val="000000"/>
                <w:szCs w:val="22"/>
                <w:lang w:val="lv-LV"/>
              </w:rPr>
              <w:t xml:space="preserve"> prasībām (</w:t>
            </w:r>
            <w:r>
              <w:rPr>
                <w:color w:val="000000"/>
                <w:szCs w:val="22"/>
                <w:lang w:val="lv-LV"/>
              </w:rPr>
              <w:t>79,2</w:t>
            </w:r>
            <w:r>
              <w:rPr>
                <w:color w:val="000000"/>
                <w:szCs w:val="22"/>
                <w:lang w:val="lv-LV"/>
              </w:rPr>
              <w:t xml:space="preserve"> punkti)</w:t>
            </w:r>
          </w:p>
          <w:p w:rsidR="003D0ADC" w:rsidRDefault="003D0ADC" w:rsidP="003D0ADC">
            <w:pPr>
              <w:ind w:right="43"/>
              <w:jc w:val="both"/>
              <w:rPr>
                <w:color w:val="FF0000"/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 xml:space="preserve">4) SIA “K-RDB” - </w:t>
            </w:r>
            <w:r>
              <w:rPr>
                <w:color w:val="000000"/>
                <w:szCs w:val="22"/>
                <w:lang w:val="lv-LV"/>
              </w:rPr>
              <w:t xml:space="preserve">piedāvājums </w:t>
            </w:r>
            <w:r w:rsidRPr="00615DD9">
              <w:rPr>
                <w:color w:val="000000"/>
                <w:szCs w:val="22"/>
                <w:u w:val="single"/>
                <w:lang w:val="lv-LV"/>
              </w:rPr>
              <w:t>ne</w:t>
            </w:r>
            <w:r>
              <w:rPr>
                <w:color w:val="000000"/>
                <w:u w:val="single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Nolikuma 2.pielikuma “Kvalifikācija” 1) 2.1.1.apakšpunktā noteiktajam – pretendentam nav pieredzes pilsētas ielas  vai ielas posma ar inženierkomunikācijām jaunas būvniecības vai pārbūves projektēšanā ar kopējo garumu vismaz 1,0 km; 2) 2.2.1.apakšpunktā noteiktajam - piedāvātajam būvprojekta vadītājam ceļu un ielu projektēšanā Edvīnam </w:t>
            </w:r>
            <w:proofErr w:type="spellStart"/>
            <w:r>
              <w:rPr>
                <w:color w:val="000000"/>
                <w:lang w:val="lv-LV"/>
              </w:rPr>
              <w:t>Tolmanim</w:t>
            </w:r>
            <w:proofErr w:type="spellEnd"/>
            <w:r>
              <w:rPr>
                <w:color w:val="000000"/>
                <w:lang w:val="lv-LV"/>
              </w:rPr>
              <w:t xml:space="preserve"> nav pieredzes pilsētas ielas  vai ielas posma ar inženierkomunikācijām jaunas būvniecības vai pārbūves projektēšanā</w:t>
            </w:r>
            <w:r>
              <w:rPr>
                <w:color w:val="000000"/>
                <w:lang w:val="lv-LV"/>
              </w:rPr>
              <w:t xml:space="preserve"> ar kopējo garumu vismaz 1,0 km</w:t>
            </w:r>
          </w:p>
        </w:tc>
      </w:tr>
    </w:tbl>
    <w:p w:rsidR="008324C4" w:rsidRDefault="008324C4" w:rsidP="008324C4">
      <w:pPr>
        <w:ind w:left="360" w:right="-1054"/>
        <w:rPr>
          <w:b/>
          <w:bCs/>
          <w:lang w:val="lv-LV"/>
        </w:rPr>
      </w:pPr>
    </w:p>
    <w:p w:rsidR="008324C4" w:rsidRDefault="008324C4" w:rsidP="008324C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color w:val="000000" w:themeColor="text1"/>
              </w:rPr>
            </w:pPr>
          </w:p>
          <w:p w:rsidR="008324C4" w:rsidRDefault="008324C4" w:rsidP="003D0ADC">
            <w:pPr>
              <w:rPr>
                <w:lang w:val="lv-LV"/>
              </w:rPr>
            </w:pPr>
            <w:r>
              <w:rPr>
                <w:color w:val="000000" w:themeColor="text1"/>
              </w:rPr>
              <w:t>A</w:t>
            </w:r>
            <w:r w:rsidR="003D0ADC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“</w:t>
            </w:r>
            <w:proofErr w:type="spellStart"/>
            <w:r w:rsidR="003D0ADC">
              <w:rPr>
                <w:color w:val="000000" w:themeColor="text1"/>
              </w:rPr>
              <w:t>Ceļu</w:t>
            </w:r>
            <w:proofErr w:type="spellEnd"/>
            <w:r w:rsidR="003D0ADC">
              <w:rPr>
                <w:color w:val="000000" w:themeColor="text1"/>
              </w:rPr>
              <w:t xml:space="preserve"> </w:t>
            </w:r>
            <w:proofErr w:type="spellStart"/>
            <w:r w:rsidR="003D0ADC">
              <w:rPr>
                <w:color w:val="000000" w:themeColor="text1"/>
              </w:rPr>
              <w:t>inženieri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8324C4" w:rsidRDefault="003D0ADC" w:rsidP="000C174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41 700,00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3D0ADC" w:rsidP="003359FE">
            <w:pPr>
              <w:ind w:right="43"/>
              <w:jc w:val="both"/>
              <w:rPr>
                <w:color w:val="000000"/>
                <w:szCs w:val="22"/>
                <w:lang w:val="lv-LV"/>
              </w:rPr>
            </w:pPr>
            <w:r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aimnieciski visizdevīgākais </w:t>
            </w:r>
            <w:r>
              <w:rPr>
                <w:color w:val="000000"/>
                <w:szCs w:val="22"/>
                <w:lang w:val="lv-LV"/>
              </w:rPr>
              <w:t>piedāvājums, kas atbilst Nolikum</w:t>
            </w:r>
            <w:r>
              <w:rPr>
                <w:color w:val="000000"/>
                <w:szCs w:val="22"/>
                <w:lang w:val="lv-LV"/>
              </w:rPr>
              <w:t>a</w:t>
            </w:r>
            <w:r>
              <w:rPr>
                <w:color w:val="000000"/>
                <w:szCs w:val="22"/>
                <w:lang w:val="lv-LV"/>
              </w:rPr>
              <w:t xml:space="preserve"> prasībām (</w:t>
            </w:r>
            <w:r w:rsidR="003359FE">
              <w:rPr>
                <w:color w:val="000000"/>
                <w:szCs w:val="22"/>
                <w:lang w:val="lv-LV"/>
              </w:rPr>
              <w:t>87,4</w:t>
            </w:r>
            <w:r>
              <w:rPr>
                <w:color w:val="000000"/>
                <w:szCs w:val="22"/>
                <w:lang w:val="lv-LV"/>
              </w:rPr>
              <w:t xml:space="preserve"> punkti)</w:t>
            </w:r>
          </w:p>
          <w:p w:rsidR="003359FE" w:rsidRDefault="003359FE" w:rsidP="003359FE">
            <w:pPr>
              <w:ind w:right="43"/>
              <w:jc w:val="both"/>
              <w:rPr>
                <w:lang w:val="lv-LV"/>
              </w:rPr>
            </w:pPr>
            <w:r>
              <w:rPr>
                <w:bCs/>
                <w:color w:val="000000"/>
                <w:lang w:val="lv-LV"/>
              </w:rPr>
              <w:t>Aprēķinot piedāvājuma vērtēšanas kritērijos ietilpstošos rādītājus, iepirkumu komisijas locekļi ņ</w:t>
            </w:r>
            <w:r>
              <w:rPr>
                <w:bCs/>
                <w:color w:val="000000"/>
                <w:lang w:val="lv-LV"/>
              </w:rPr>
              <w:t>ēma</w:t>
            </w:r>
            <w:r>
              <w:rPr>
                <w:bCs/>
                <w:color w:val="000000"/>
                <w:lang w:val="lv-LV"/>
              </w:rPr>
              <w:t xml:space="preserve"> vērā matemātisko precizitāti </w:t>
            </w:r>
            <w:proofErr w:type="spellStart"/>
            <w:r>
              <w:rPr>
                <w:bCs/>
                <w:color w:val="000000"/>
                <w:lang w:val="lv-LV"/>
              </w:rPr>
              <w:t>starpaprēķinos</w:t>
            </w:r>
            <w:proofErr w:type="spellEnd"/>
            <w:r>
              <w:rPr>
                <w:bCs/>
                <w:color w:val="000000"/>
                <w:lang w:val="lv-LV"/>
              </w:rPr>
              <w:t xml:space="preserve"> līdz 3 (trīs) zīmēm aiz komata, galīgajā aprēķinā līdz 2 (divām) zīmēm aiz komata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3359FE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par līgumcenu 1.daļa – </w:t>
            </w:r>
            <w:r w:rsidR="003359FE">
              <w:rPr>
                <w:lang w:val="lv-LV"/>
              </w:rPr>
              <w:t>37 700,00</w:t>
            </w:r>
            <w:r>
              <w:rPr>
                <w:lang w:val="lv-LV"/>
              </w:rPr>
              <w:t xml:space="preserve"> EUR bez PVN 21%, 2.daļa – </w:t>
            </w:r>
            <w:r w:rsidR="003359FE">
              <w:rPr>
                <w:lang w:val="lv-LV"/>
              </w:rPr>
              <w:t>4 000,00</w:t>
            </w:r>
            <w:r>
              <w:rPr>
                <w:lang w:val="lv-LV"/>
              </w:rPr>
              <w:t xml:space="preserve"> EUR bez PVN 21% </w:t>
            </w:r>
          </w:p>
        </w:tc>
      </w:tr>
      <w:tr w:rsidR="008324C4" w:rsidTr="000C174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3359FE" w:rsidP="000C1743">
            <w:pPr>
              <w:rPr>
                <w:lang w:val="lv-LV"/>
              </w:rPr>
            </w:pPr>
            <w:r>
              <w:rPr>
                <w:lang w:val="lv-LV"/>
              </w:rPr>
              <w:t>29.12</w:t>
            </w:r>
            <w:r w:rsidR="008324C4">
              <w:rPr>
                <w:lang w:val="lv-LV"/>
              </w:rPr>
              <w:t>.2015. Pašvaldības iepirkumu komisijas sēdes protokols Nr. 2</w:t>
            </w:r>
            <w:r>
              <w:rPr>
                <w:lang w:val="lv-LV"/>
              </w:rPr>
              <w:t>27</w:t>
            </w:r>
          </w:p>
          <w:p w:rsidR="008324C4" w:rsidRDefault="003359FE" w:rsidP="000C1743">
            <w:pPr>
              <w:rPr>
                <w:lang w:val="lv-LV"/>
              </w:rPr>
            </w:pPr>
            <w:r>
              <w:rPr>
                <w:lang w:val="lv-LV"/>
              </w:rPr>
              <w:t>06.01.2016</w:t>
            </w:r>
            <w:r w:rsidR="008324C4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1</w:t>
            </w:r>
          </w:p>
          <w:p w:rsidR="008324C4" w:rsidRDefault="003359FE" w:rsidP="000C1743">
            <w:pPr>
              <w:rPr>
                <w:lang w:val="lv-LV"/>
              </w:rPr>
            </w:pPr>
            <w:r>
              <w:rPr>
                <w:lang w:val="lv-LV"/>
              </w:rPr>
              <w:t>12.01</w:t>
            </w:r>
            <w:r w:rsidR="008324C4">
              <w:rPr>
                <w:lang w:val="lv-LV"/>
              </w:rPr>
              <w:t>.201</w:t>
            </w:r>
            <w:r>
              <w:rPr>
                <w:lang w:val="lv-LV"/>
              </w:rPr>
              <w:t>6</w:t>
            </w:r>
            <w:r w:rsidR="008324C4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7</w:t>
            </w:r>
          </w:p>
          <w:p w:rsidR="008324C4" w:rsidRDefault="003359FE" w:rsidP="003359F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14.01.2016</w:t>
            </w:r>
            <w:r w:rsidR="008324C4">
              <w:rPr>
                <w:lang w:val="lv-LV"/>
              </w:rPr>
              <w:t xml:space="preserve">. Piedāvājumu vērtēšanas sēdes protokols Nr. </w:t>
            </w:r>
            <w:r w:rsidR="008324C4">
              <w:rPr>
                <w:color w:val="000000" w:themeColor="text1"/>
                <w:lang w:val="lv-LV"/>
              </w:rPr>
              <w:t>11</w:t>
            </w:r>
          </w:p>
        </w:tc>
      </w:tr>
    </w:tbl>
    <w:p w:rsidR="008324C4" w:rsidRDefault="008324C4" w:rsidP="008324C4">
      <w:pPr>
        <w:ind w:left="360" w:right="-1054" w:hanging="360"/>
        <w:rPr>
          <w:b/>
          <w:bCs/>
          <w:lang w:val="lv-LV"/>
        </w:rPr>
      </w:pPr>
    </w:p>
    <w:p w:rsidR="008324C4" w:rsidRDefault="008324C4" w:rsidP="008324C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324C4" w:rsidTr="000C174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4" w:rsidRDefault="008324C4" w:rsidP="000C174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8324C4" w:rsidRDefault="008324C4" w:rsidP="008324C4"/>
    <w:p w:rsidR="008324C4" w:rsidRDefault="008324C4" w:rsidP="008324C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324C4" w:rsidRDefault="008324C4" w:rsidP="008324C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8324C4" w:rsidRDefault="008324C4" w:rsidP="008324C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8324C4" w:rsidRDefault="008324C4" w:rsidP="0000273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002737">
        <w:rPr>
          <w:rFonts w:ascii="Times New Roman" w:eastAsia="Times New Roman" w:hAnsi="Times New Roman" w:cs="Times New Roman"/>
          <w:szCs w:val="24"/>
          <w:lang w:val="lv-LV"/>
        </w:rPr>
        <w:t>M.</w:t>
      </w:r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  <w:bookmarkStart w:id="0" w:name="_GoBack"/>
      <w:bookmarkEnd w:id="0"/>
    </w:p>
    <w:p w:rsidR="008324C4" w:rsidRDefault="008324C4" w:rsidP="008324C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8324C4" w:rsidRDefault="008324C4" w:rsidP="008324C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441ED" w:rsidRDefault="008324C4" w:rsidP="003359FE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sectPr w:rsidR="003441ED" w:rsidSect="003359FE">
      <w:footerReference w:type="even" r:id="rId5"/>
      <w:footerReference w:type="default" r:id="rId6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0027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0027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0027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00273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C4"/>
    <w:rsid w:val="00002737"/>
    <w:rsid w:val="000604EE"/>
    <w:rsid w:val="003359FE"/>
    <w:rsid w:val="003441ED"/>
    <w:rsid w:val="003D0ADC"/>
    <w:rsid w:val="008324C4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AFDF-4C76-4EA8-BA5B-907E7251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4C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324C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8324C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8324C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24C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324C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8324C4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8324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324C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8324C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324C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8324C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324C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324C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8324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324C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8324C4"/>
  </w:style>
  <w:style w:type="paragraph" w:styleId="BlockText">
    <w:name w:val="Block Text"/>
    <w:basedOn w:val="Normal"/>
    <w:semiHidden/>
    <w:rsid w:val="008324C4"/>
    <w:pPr>
      <w:ind w:left="-108" w:right="-108"/>
    </w:pPr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7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3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2016-01-15T07:07:00Z</cp:lastPrinted>
  <dcterms:created xsi:type="dcterms:W3CDTF">2016-01-15T06:38:00Z</dcterms:created>
  <dcterms:modified xsi:type="dcterms:W3CDTF">2016-01-15T07:08:00Z</dcterms:modified>
</cp:coreProperties>
</file>