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82" w:rsidRDefault="00A73C82" w:rsidP="00A73C82">
      <w:pPr>
        <w:pStyle w:val="Heading7"/>
        <w:tabs>
          <w:tab w:val="left" w:pos="360"/>
        </w:tabs>
        <w:ind w:right="-1054"/>
        <w:rPr>
          <w:bCs w:val="0"/>
          <w:sz w:val="24"/>
          <w:lang w:val="lv-LV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82" w:rsidRPr="00A73C82" w:rsidRDefault="00A73C82" w:rsidP="00A73C82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A73C82">
        <w:rPr>
          <w:rFonts w:eastAsia="Lucida Sans Unicode" w:cs="Tahoma"/>
          <w:lang w:val="en-US"/>
        </w:rPr>
        <w:t>JĒKABPILS PILSĒTAS PAŠVALDĪBA</w:t>
      </w:r>
    </w:p>
    <w:p w:rsidR="00A73C82" w:rsidRDefault="00A73C82" w:rsidP="00A73C8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highlight w:val="yellow"/>
          <w:lang/>
        </w:rPr>
        <w:t xml:space="preserve">IEPIRKUMU KOMISIJA </w:t>
      </w:r>
    </w:p>
    <w:p w:rsidR="00A73C82" w:rsidRDefault="00A73C82" w:rsidP="00A73C8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73C82" w:rsidRDefault="00A73C82" w:rsidP="00A73C8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73C82" w:rsidRDefault="00A73C82" w:rsidP="00A73C8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73C82" w:rsidRDefault="00A73C82" w:rsidP="00A73C82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A73C82" w:rsidRDefault="00A73C82" w:rsidP="00A73C82">
      <w:pPr>
        <w:pStyle w:val="Subtitle"/>
        <w:rPr>
          <w:u w:val="single"/>
        </w:rPr>
      </w:pPr>
    </w:p>
    <w:p w:rsidR="00A73C82" w:rsidRDefault="00A73C82" w:rsidP="00A73C8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A73C82" w:rsidRDefault="00A73C82" w:rsidP="00A73C82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5</w:t>
      </w:r>
      <w:r>
        <w:rPr>
          <w:lang w:val="lv-LV"/>
        </w:rPr>
        <w:t xml:space="preserve">.gada </w:t>
      </w:r>
      <w:r>
        <w:rPr>
          <w:lang w:val="lv-LV"/>
        </w:rPr>
        <w:t>29.aprīlī</w:t>
      </w:r>
    </w:p>
    <w:p w:rsidR="00A73C82" w:rsidRDefault="00A73C82" w:rsidP="00A73C82">
      <w:pPr>
        <w:ind w:right="-1054"/>
        <w:rPr>
          <w:lang w:val="lv-LV"/>
        </w:rPr>
      </w:pPr>
    </w:p>
    <w:p w:rsidR="00A73C82" w:rsidRDefault="00A73C82" w:rsidP="00A73C8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A73C82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</w:t>
            </w:r>
            <w:r w:rsidRPr="00520AC6">
              <w:rPr>
                <w:lang w:val="lv-LV"/>
              </w:rPr>
              <w:t>2013.gada 20.jūnija Jēkabpils pilsētas domes sēdes lēmumu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bCs/>
                <w:lang w:val="lv-LV"/>
              </w:rPr>
              <w:t xml:space="preserve"> 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ind w:right="72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Ēdināšanas pakalpojumu sniegšana Jēkabpils pilsētas pašvaldības reprezentācijas nodrošināšanai</w:t>
            </w:r>
          </w:p>
          <w:p w:rsidR="00A73C82" w:rsidRDefault="00A73C82" w:rsidP="00960392">
            <w:pPr>
              <w:pStyle w:val="BodyText"/>
              <w:ind w:right="72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Iepirkums sadalīts </w:t>
            </w:r>
            <w:r>
              <w:rPr>
                <w:sz w:val="24"/>
                <w:lang w:val="lv-LV"/>
              </w:rPr>
              <w:t>6</w:t>
            </w:r>
            <w:r>
              <w:rPr>
                <w:sz w:val="24"/>
                <w:lang w:val="lv-LV"/>
              </w:rPr>
              <w:t xml:space="preserve"> (</w:t>
            </w:r>
            <w:r>
              <w:rPr>
                <w:sz w:val="24"/>
                <w:lang w:val="lv-LV"/>
              </w:rPr>
              <w:t>seš</w:t>
            </w:r>
            <w:r>
              <w:rPr>
                <w:sz w:val="24"/>
                <w:lang w:val="lv-LV"/>
              </w:rPr>
              <w:t>ās) daļās:</w:t>
            </w:r>
          </w:p>
          <w:p w:rsidR="00A73C82" w:rsidRPr="00A73C82" w:rsidRDefault="00A73C82" w:rsidP="00A73C82">
            <w:pPr>
              <w:pStyle w:val="BodyText2"/>
              <w:ind w:right="47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- </w:t>
            </w:r>
            <w:r w:rsidRPr="00A73C82">
              <w:rPr>
                <w:bCs/>
                <w:lang w:val="lv-LV"/>
              </w:rPr>
              <w:t>1.daļa</w:t>
            </w:r>
            <w:r w:rsidRPr="00A73C82">
              <w:rPr>
                <w:lang w:val="lv-LV"/>
              </w:rPr>
              <w:t xml:space="preserve"> - Izbraukuma ēdināšanas pakalpojumu sniegšana Jēkabpils pilsētas pašvaldības reprezentācijas nodrošināšanai (kafijas galds);</w:t>
            </w:r>
          </w:p>
          <w:p w:rsidR="00A73C82" w:rsidRPr="00A73C82" w:rsidRDefault="00A73C82" w:rsidP="00A73C82">
            <w:pPr>
              <w:pStyle w:val="BodyText2"/>
              <w:ind w:right="47"/>
              <w:rPr>
                <w:lang w:val="lv-LV"/>
              </w:rPr>
            </w:pPr>
            <w:r w:rsidRPr="00A73C82">
              <w:rPr>
                <w:lang w:val="lv-LV"/>
              </w:rPr>
              <w:t xml:space="preserve">- </w:t>
            </w:r>
            <w:r w:rsidRPr="00A73C82">
              <w:rPr>
                <w:bCs/>
                <w:lang w:val="lv-LV"/>
              </w:rPr>
              <w:t>2.daļa</w:t>
            </w:r>
            <w:r w:rsidRPr="00A73C82">
              <w:rPr>
                <w:lang w:val="lv-LV"/>
              </w:rPr>
              <w:t xml:space="preserve"> - Izbraukuma ēdināšanas pakalpojumu sniegšana Jēkabpils pilsētas pašvaldības reprezentācijas nodrošināšanai (ar termosiem – siltais galds);</w:t>
            </w:r>
          </w:p>
          <w:p w:rsidR="00A73C82" w:rsidRPr="00A73C82" w:rsidRDefault="00A73C82" w:rsidP="00A73C82">
            <w:pPr>
              <w:pStyle w:val="BodyText2"/>
              <w:ind w:right="47"/>
              <w:rPr>
                <w:lang w:val="lv-LV"/>
              </w:rPr>
            </w:pPr>
            <w:r w:rsidRPr="00A73C82">
              <w:rPr>
                <w:lang w:val="lv-LV"/>
              </w:rPr>
              <w:t xml:space="preserve">- </w:t>
            </w:r>
            <w:r w:rsidRPr="00A73C82">
              <w:rPr>
                <w:bCs/>
                <w:lang w:val="lv-LV"/>
              </w:rPr>
              <w:t>3.daļa</w:t>
            </w:r>
            <w:r w:rsidRPr="00A73C82">
              <w:rPr>
                <w:lang w:val="lv-LV"/>
              </w:rPr>
              <w:t xml:space="preserve"> - Izbraukuma ēdināšanas pakalpojumu sniegšana Jēkabpils pilsētas pašvaldības reprezentācijas nodrošināšanai (aukstais galds);</w:t>
            </w:r>
          </w:p>
          <w:p w:rsidR="00A73C82" w:rsidRPr="00A73C82" w:rsidRDefault="00A73C82" w:rsidP="00A73C82">
            <w:pPr>
              <w:pStyle w:val="BodyText2"/>
              <w:ind w:right="47"/>
              <w:rPr>
                <w:lang w:val="lv-LV"/>
              </w:rPr>
            </w:pPr>
            <w:r w:rsidRPr="00A73C82">
              <w:rPr>
                <w:lang w:val="lv-LV"/>
              </w:rPr>
              <w:t xml:space="preserve">- </w:t>
            </w:r>
            <w:r w:rsidRPr="00A73C82">
              <w:rPr>
                <w:bCs/>
                <w:lang w:val="lv-LV"/>
              </w:rPr>
              <w:t>4.daļa</w:t>
            </w:r>
            <w:r w:rsidRPr="00A73C82">
              <w:rPr>
                <w:lang w:val="lv-LV"/>
              </w:rPr>
              <w:t xml:space="preserve"> - Ēdināšanas pakalpojumu sniegšana piegādātāja telpās Jēkabpils pilsētas pašvaldības reprezentācijas nodrošināšanai (kafijas galds);</w:t>
            </w:r>
          </w:p>
          <w:p w:rsidR="00A73C82" w:rsidRPr="00A73C82" w:rsidRDefault="00A73C82" w:rsidP="00A73C82">
            <w:pPr>
              <w:pStyle w:val="BodyText2"/>
              <w:ind w:right="47"/>
              <w:rPr>
                <w:lang w:val="lv-LV"/>
              </w:rPr>
            </w:pPr>
            <w:r w:rsidRPr="00A73C82">
              <w:rPr>
                <w:lang w:val="lv-LV"/>
              </w:rPr>
              <w:t>- 5.daļa - Ēdināšanas pakalpojumu sniegšana piegādātāja telpās Jēkabpils pilsētas pašvaldības reprezentācijas nodrošināšanai (siltais galds);</w:t>
            </w:r>
          </w:p>
          <w:p w:rsidR="00A73C82" w:rsidRDefault="00A73C82" w:rsidP="00A73C82">
            <w:pPr>
              <w:pStyle w:val="BodyText2"/>
              <w:ind w:right="47"/>
              <w:rPr>
                <w:lang w:val="lv-LV"/>
              </w:rPr>
            </w:pPr>
            <w:r w:rsidRPr="00A73C82">
              <w:rPr>
                <w:lang w:val="lv-LV"/>
              </w:rPr>
              <w:t>- 6.daļa</w:t>
            </w:r>
            <w:r>
              <w:rPr>
                <w:lang w:val="lv-LV"/>
              </w:rPr>
              <w:t xml:space="preserve"> - Ēdināšanas pakalpojumu sniegšana piegādātāja telpās Jēkabpils pilsētas pašvaldības reprezentācijas nodrošināšanai (aukstais galds)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</w:p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A73C82">
            <w:pPr>
              <w:rPr>
                <w:lang w:val="lv-LV"/>
              </w:rPr>
            </w:pPr>
          </w:p>
          <w:p w:rsidR="00A73C82" w:rsidRDefault="00A73C82" w:rsidP="00A73C82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28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</w:p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</w:p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PIL 8.²panta sešpadsmitā daļa (“B” daļas pakalpojums)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</w:p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</w:p>
          <w:p w:rsidR="00A73C82" w:rsidRDefault="00A73C82" w:rsidP="00960392">
            <w:pPr>
              <w:rPr>
                <w:lang w:val="lv-LV"/>
              </w:rPr>
            </w:pPr>
          </w:p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Bez publicēšanas</w:t>
            </w:r>
          </w:p>
        </w:tc>
      </w:tr>
    </w:tbl>
    <w:p w:rsidR="00A73C82" w:rsidRDefault="00A73C82" w:rsidP="00A73C82">
      <w:pPr>
        <w:pStyle w:val="Heading1"/>
      </w:pPr>
    </w:p>
    <w:p w:rsidR="00A73C82" w:rsidRPr="00A73C82" w:rsidRDefault="00A73C82" w:rsidP="00A73C82">
      <w:pPr>
        <w:rPr>
          <w:lang w:val="lv-LV"/>
        </w:rPr>
      </w:pPr>
    </w:p>
    <w:p w:rsidR="00A73C82" w:rsidRDefault="00A73C82" w:rsidP="00A73C82">
      <w:pPr>
        <w:pStyle w:val="Heading1"/>
      </w:pPr>
      <w:r>
        <w:lastRenderedPageBreak/>
        <w:t>II. INFORMĀCIJA PAR PRETENDENTIEM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134"/>
        <w:gridCol w:w="1134"/>
        <w:gridCol w:w="1134"/>
        <w:gridCol w:w="1134"/>
        <w:gridCol w:w="1134"/>
        <w:gridCol w:w="1134"/>
      </w:tblGrid>
      <w:tr w:rsidR="00A73C82" w:rsidRPr="0054197B" w:rsidTr="00960392">
        <w:tc>
          <w:tcPr>
            <w:tcW w:w="567" w:type="dxa"/>
          </w:tcPr>
          <w:p w:rsidR="00A73C82" w:rsidRPr="0054197B" w:rsidRDefault="00A73C82" w:rsidP="00960392">
            <w:pPr>
              <w:pStyle w:val="BodyText"/>
              <w:ind w:right="-540"/>
              <w:rPr>
                <w:b/>
                <w:bCs/>
                <w:sz w:val="22"/>
                <w:szCs w:val="22"/>
              </w:rPr>
            </w:pPr>
          </w:p>
          <w:p w:rsidR="00A73C82" w:rsidRPr="0054197B" w:rsidRDefault="00A73C82" w:rsidP="00960392">
            <w:pPr>
              <w:pStyle w:val="BodyText"/>
              <w:ind w:right="-540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Nr.</w:t>
            </w:r>
          </w:p>
          <w:p w:rsidR="00A73C82" w:rsidRPr="0054197B" w:rsidRDefault="00A73C82" w:rsidP="00960392">
            <w:pPr>
              <w:pStyle w:val="BodyText"/>
              <w:ind w:right="-540"/>
              <w:rPr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p.k</w:t>
            </w:r>
            <w:proofErr w:type="spellEnd"/>
            <w:r w:rsidRPr="0054197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36" w:type="dxa"/>
          </w:tcPr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/>
                <w:bCs/>
                <w:sz w:val="22"/>
                <w:szCs w:val="22"/>
              </w:rPr>
            </w:pPr>
          </w:p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648"/>
              </w:tabs>
              <w:ind w:left="-64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Pretendents</w:t>
            </w:r>
            <w:proofErr w:type="spellEnd"/>
          </w:p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648"/>
              </w:tabs>
              <w:ind w:left="-64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Piedāvātā</w:t>
            </w:r>
            <w:proofErr w:type="spellEnd"/>
          </w:p>
          <w:p w:rsidR="00A73C82" w:rsidRPr="0054197B" w:rsidRDefault="00A73C82" w:rsidP="00960392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vienību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kopējā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vērtējamā</w:t>
            </w:r>
            <w:proofErr w:type="spellEnd"/>
          </w:p>
          <w:p w:rsidR="00A73C82" w:rsidRPr="0054197B" w:rsidRDefault="00A73C82" w:rsidP="00960392">
            <w:pPr>
              <w:pStyle w:val="BodyText"/>
              <w:tabs>
                <w:tab w:val="left" w:pos="-10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cena</w:t>
            </w:r>
            <w:proofErr w:type="spellEnd"/>
          </w:p>
          <w:p w:rsidR="00A73C82" w:rsidRPr="00A75BC4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1.daļai</w:t>
            </w:r>
          </w:p>
          <w:p w:rsidR="00A73C82" w:rsidRPr="0054197B" w:rsidRDefault="00A73C82" w:rsidP="00960392">
            <w:pPr>
              <w:pStyle w:val="BodyText"/>
              <w:tabs>
                <w:tab w:val="left" w:pos="-108"/>
              </w:tabs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134" w:type="dxa"/>
          </w:tcPr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Piedāvātā</w:t>
            </w:r>
            <w:proofErr w:type="spellEnd"/>
          </w:p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vienību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kopējā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vērtējamā</w:t>
            </w:r>
            <w:proofErr w:type="spellEnd"/>
          </w:p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cena</w:t>
            </w:r>
            <w:proofErr w:type="spellEnd"/>
          </w:p>
          <w:p w:rsidR="00A73C82" w:rsidRPr="00A75BC4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2.daļai</w:t>
            </w:r>
          </w:p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134" w:type="dxa"/>
          </w:tcPr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Piedāvātā</w:t>
            </w:r>
            <w:proofErr w:type="spellEnd"/>
          </w:p>
          <w:p w:rsidR="00A73C82" w:rsidRPr="0054197B" w:rsidRDefault="00A73C82" w:rsidP="00960392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vienību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kopējā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vērtējamā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</w:p>
          <w:p w:rsidR="00A73C82" w:rsidRPr="0054197B" w:rsidRDefault="00A73C82" w:rsidP="00960392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cena</w:t>
            </w:r>
            <w:proofErr w:type="spellEnd"/>
          </w:p>
          <w:p w:rsidR="00A73C82" w:rsidRPr="00A75BC4" w:rsidRDefault="00A73C82" w:rsidP="00960392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3.daļai</w:t>
            </w:r>
          </w:p>
          <w:p w:rsidR="00A73C82" w:rsidRPr="0054197B" w:rsidRDefault="00A73C82" w:rsidP="00960392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134" w:type="dxa"/>
          </w:tcPr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Piedāvātā</w:t>
            </w:r>
            <w:proofErr w:type="spellEnd"/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vienību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kopējā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vērtējamā</w:t>
            </w:r>
            <w:proofErr w:type="spellEnd"/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cena</w:t>
            </w:r>
            <w:proofErr w:type="spellEnd"/>
          </w:p>
          <w:p w:rsidR="00A73C82" w:rsidRPr="00A75BC4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4.daļai</w:t>
            </w:r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134" w:type="dxa"/>
          </w:tcPr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Piedāvātā</w:t>
            </w:r>
            <w:proofErr w:type="spellEnd"/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vienību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kopējā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vērtējamā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cena</w:t>
            </w:r>
            <w:proofErr w:type="spellEnd"/>
          </w:p>
          <w:p w:rsidR="00A73C82" w:rsidRPr="00A75BC4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5.daļai</w:t>
            </w:r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134" w:type="dxa"/>
          </w:tcPr>
          <w:p w:rsidR="00A73C82" w:rsidRPr="0054197B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Piedāvātā</w:t>
            </w:r>
            <w:proofErr w:type="spellEnd"/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vienību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kopējā</w:t>
            </w:r>
            <w:proofErr w:type="spellEnd"/>
            <w:r w:rsidRPr="005419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197B">
              <w:rPr>
                <w:bCs/>
                <w:sz w:val="22"/>
                <w:szCs w:val="22"/>
              </w:rPr>
              <w:t>vērtējamā</w:t>
            </w:r>
            <w:proofErr w:type="spellEnd"/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4197B">
              <w:rPr>
                <w:bCs/>
                <w:sz w:val="22"/>
                <w:szCs w:val="22"/>
              </w:rPr>
              <w:t>cena</w:t>
            </w:r>
            <w:proofErr w:type="spellEnd"/>
          </w:p>
          <w:p w:rsidR="00A73C82" w:rsidRPr="00A75BC4" w:rsidRDefault="00A73C82" w:rsidP="00960392">
            <w:pPr>
              <w:pStyle w:val="BodyText"/>
              <w:ind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6.daļai</w:t>
            </w:r>
          </w:p>
          <w:p w:rsidR="00A73C82" w:rsidRPr="0054197B" w:rsidRDefault="00A73C82" w:rsidP="00960392">
            <w:pPr>
              <w:pStyle w:val="BodyText"/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</w:tr>
      <w:tr w:rsidR="00A73C82" w:rsidTr="00960392">
        <w:tc>
          <w:tcPr>
            <w:tcW w:w="567" w:type="dxa"/>
          </w:tcPr>
          <w:p w:rsidR="00A73C82" w:rsidRDefault="00A73C82" w:rsidP="00960392">
            <w:pPr>
              <w:pStyle w:val="BodyText"/>
              <w:ind w:right="-5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 w:rsidR="00A73C82" w:rsidRPr="00650F8F" w:rsidRDefault="00A73C82" w:rsidP="00960392">
            <w:pPr>
              <w:pStyle w:val="BodyText"/>
              <w:ind w:right="-54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650F8F">
              <w:rPr>
                <w:bCs/>
                <w:sz w:val="24"/>
              </w:rPr>
              <w:t>1.</w:t>
            </w:r>
          </w:p>
        </w:tc>
        <w:tc>
          <w:tcPr>
            <w:tcW w:w="2836" w:type="dxa"/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ZS “AVOTIŅI”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 xml:space="preserve">  10,08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ind w:right="-108" w:hanging="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 w:hanging="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11,12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7,24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10,07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11,27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7,25</w:t>
            </w:r>
          </w:p>
        </w:tc>
      </w:tr>
      <w:tr w:rsidR="00A73C82" w:rsidTr="00960392">
        <w:tc>
          <w:tcPr>
            <w:tcW w:w="567" w:type="dxa"/>
          </w:tcPr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2836" w:type="dxa"/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sz w:val="24"/>
              </w:rPr>
            </w:pPr>
            <w:r w:rsidRPr="00860611">
              <w:rPr>
                <w:bCs/>
                <w:sz w:val="24"/>
              </w:rPr>
              <w:t>SIA “</w:t>
            </w:r>
            <w:proofErr w:type="spellStart"/>
            <w:r w:rsidRPr="00860611">
              <w:rPr>
                <w:bCs/>
                <w:sz w:val="24"/>
              </w:rPr>
              <w:t>Garšu</w:t>
            </w:r>
            <w:proofErr w:type="spellEnd"/>
            <w:r w:rsidRPr="00860611">
              <w:rPr>
                <w:bCs/>
                <w:sz w:val="24"/>
              </w:rPr>
              <w:t xml:space="preserve"> </w:t>
            </w:r>
            <w:proofErr w:type="spellStart"/>
            <w:r w:rsidRPr="00860611">
              <w:rPr>
                <w:bCs/>
                <w:sz w:val="24"/>
              </w:rPr>
              <w:t>galerija</w:t>
            </w:r>
            <w:proofErr w:type="spellEnd"/>
            <w:r w:rsidRPr="00860611">
              <w:rPr>
                <w:bCs/>
                <w:sz w:val="24"/>
              </w:rPr>
              <w:t>”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14,30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13,20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8,55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27,96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27,60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22,60</w:t>
            </w:r>
          </w:p>
        </w:tc>
      </w:tr>
      <w:tr w:rsidR="00A73C82" w:rsidTr="00960392">
        <w:tc>
          <w:tcPr>
            <w:tcW w:w="567" w:type="dxa"/>
          </w:tcPr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3. </w:t>
            </w:r>
          </w:p>
        </w:tc>
        <w:tc>
          <w:tcPr>
            <w:tcW w:w="2836" w:type="dxa"/>
          </w:tcPr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sz w:val="24"/>
              </w:rPr>
            </w:pPr>
            <w:r w:rsidRPr="00860611">
              <w:rPr>
                <w:bCs/>
                <w:sz w:val="24"/>
              </w:rPr>
              <w:t>SIA “MARGRET”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ind w:right="-540"/>
              <w:rPr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9,76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11,94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7,65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15,71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17,70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13,40</w:t>
            </w:r>
          </w:p>
        </w:tc>
      </w:tr>
      <w:tr w:rsidR="00A73C82" w:rsidTr="00960392">
        <w:tc>
          <w:tcPr>
            <w:tcW w:w="567" w:type="dxa"/>
          </w:tcPr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</w:p>
        </w:tc>
        <w:tc>
          <w:tcPr>
            <w:tcW w:w="2836" w:type="dxa"/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sz w:val="24"/>
              </w:rPr>
            </w:pPr>
            <w:r w:rsidRPr="00860611">
              <w:rPr>
                <w:bCs/>
                <w:sz w:val="24"/>
              </w:rPr>
              <w:t>SIA “JTES”</w:t>
            </w:r>
            <w:r w:rsidRPr="00860611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16,14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18,67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12,07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15,49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19,34</w:t>
            </w:r>
          </w:p>
        </w:tc>
        <w:tc>
          <w:tcPr>
            <w:tcW w:w="1134" w:type="dxa"/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11,08</w:t>
            </w:r>
          </w:p>
        </w:tc>
      </w:tr>
      <w:tr w:rsidR="00A73C82" w:rsidTr="00960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5.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sz w:val="24"/>
              </w:rPr>
            </w:pPr>
            <w:r w:rsidRPr="00860611">
              <w:rPr>
                <w:bCs/>
                <w:sz w:val="24"/>
              </w:rPr>
              <w:t>SIA “</w:t>
            </w:r>
            <w:proofErr w:type="spellStart"/>
            <w:r w:rsidRPr="00860611">
              <w:rPr>
                <w:bCs/>
                <w:sz w:val="24"/>
              </w:rPr>
              <w:t>Evits</w:t>
            </w:r>
            <w:proofErr w:type="spellEnd"/>
            <w:r w:rsidRPr="00860611">
              <w:rPr>
                <w:bCs/>
                <w:sz w:val="24"/>
              </w:rPr>
              <w:t>”</w:t>
            </w:r>
            <w:r w:rsidRPr="00860611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14,00</w:t>
            </w:r>
            <w:r w:rsidR="002759B7">
              <w:rPr>
                <w:bCs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54,25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50,25</w:t>
            </w:r>
          </w:p>
        </w:tc>
      </w:tr>
      <w:tr w:rsidR="00A73C82" w:rsidTr="00960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6.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sz w:val="24"/>
              </w:rPr>
            </w:pPr>
            <w:r w:rsidRPr="00860611">
              <w:rPr>
                <w:bCs/>
                <w:sz w:val="24"/>
              </w:rPr>
              <w:t>IK “</w:t>
            </w:r>
            <w:proofErr w:type="spellStart"/>
            <w:r w:rsidRPr="00860611">
              <w:rPr>
                <w:bCs/>
                <w:sz w:val="24"/>
              </w:rPr>
              <w:t>Bīriņi</w:t>
            </w:r>
            <w:proofErr w:type="spellEnd"/>
            <w:r w:rsidRPr="00860611">
              <w:rPr>
                <w:bCs/>
                <w:sz w:val="24"/>
              </w:rPr>
              <w:t xml:space="preserve"> L.S.”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-</w:t>
            </w:r>
          </w:p>
        </w:tc>
      </w:tr>
      <w:tr w:rsidR="00A73C82" w:rsidTr="00960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</w:p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7.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sz w:val="24"/>
              </w:rPr>
            </w:pPr>
            <w:r w:rsidRPr="00860611">
              <w:rPr>
                <w:sz w:val="24"/>
              </w:rPr>
              <w:t>SIA “Il-Vi-Do”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540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6,76</w:t>
            </w:r>
          </w:p>
        </w:tc>
      </w:tr>
      <w:tr w:rsidR="00A73C82" w:rsidTr="00960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pStyle w:val="BodyText"/>
              <w:ind w:right="-528"/>
              <w:rPr>
                <w:sz w:val="24"/>
              </w:rPr>
            </w:pPr>
            <w:r w:rsidRPr="00EF328F">
              <w:rPr>
                <w:sz w:val="24"/>
              </w:rPr>
              <w:t xml:space="preserve"> </w:t>
            </w:r>
          </w:p>
          <w:p w:rsidR="00A73C82" w:rsidRPr="00EF328F" w:rsidRDefault="00A73C82" w:rsidP="00960392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  <w:r w:rsidRPr="00EF328F">
              <w:rPr>
                <w:sz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jc w:val="center"/>
              <w:rPr>
                <w:sz w:val="24"/>
              </w:rPr>
            </w:pPr>
          </w:p>
          <w:p w:rsidR="00A73C82" w:rsidRPr="00860611" w:rsidRDefault="00A73C82" w:rsidP="00960392">
            <w:pPr>
              <w:pStyle w:val="BodyText"/>
              <w:jc w:val="center"/>
              <w:rPr>
                <w:sz w:val="24"/>
              </w:rPr>
            </w:pPr>
            <w:r w:rsidRPr="00860611">
              <w:rPr>
                <w:sz w:val="24"/>
              </w:rPr>
              <w:t>SIA “</w:t>
            </w:r>
            <w:proofErr w:type="spellStart"/>
            <w:r w:rsidRPr="00860611">
              <w:rPr>
                <w:sz w:val="24"/>
              </w:rPr>
              <w:t>Krustpils</w:t>
            </w:r>
            <w:proofErr w:type="spellEnd"/>
            <w:r w:rsidRPr="00860611">
              <w:rPr>
                <w:sz w:val="24"/>
              </w:rPr>
              <w:t xml:space="preserve"> </w:t>
            </w:r>
            <w:proofErr w:type="spellStart"/>
            <w:r w:rsidRPr="00860611">
              <w:rPr>
                <w:sz w:val="24"/>
              </w:rPr>
              <w:t>ceļavējš</w:t>
            </w:r>
            <w:proofErr w:type="spellEnd"/>
            <w:r w:rsidRPr="00860611">
              <w:rPr>
                <w:sz w:val="24"/>
              </w:rPr>
              <w:t>”</w:t>
            </w:r>
            <w:r w:rsidRPr="00860611">
              <w:rPr>
                <w:bCs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A73C82">
            <w:pPr>
              <w:pStyle w:val="BodyText"/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7,</w:t>
            </w:r>
            <w:r w:rsidRPr="00860611">
              <w:rPr>
                <w:bCs/>
                <w:sz w:val="24"/>
              </w:rPr>
              <w:t>3</w:t>
            </w:r>
            <w:r w:rsidRPr="00860611">
              <w:rPr>
                <w:bCs/>
                <w:sz w:val="24"/>
              </w:rPr>
              <w:t>8</w:t>
            </w:r>
            <w:r w:rsidR="002759B7">
              <w:rPr>
                <w:bCs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A73C8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5,</w:t>
            </w:r>
            <w:r w:rsidRPr="00860611">
              <w:rPr>
                <w:bCs/>
                <w:sz w:val="24"/>
              </w:rPr>
              <w:t>8</w:t>
            </w:r>
            <w:r w:rsidRPr="00860611">
              <w:rPr>
                <w:bCs/>
                <w:sz w:val="24"/>
              </w:rPr>
              <w:t>8</w:t>
            </w:r>
            <w:r w:rsidR="002759B7">
              <w:rPr>
                <w:bCs/>
                <w:sz w:val="24"/>
              </w:rPr>
              <w:t>*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</w:p>
          <w:p w:rsidR="00A73C82" w:rsidRPr="00860611" w:rsidRDefault="00A73C82" w:rsidP="0096039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Cs/>
                <w:sz w:val="24"/>
              </w:rPr>
            </w:pPr>
            <w:r w:rsidRPr="00860611">
              <w:rPr>
                <w:bCs/>
                <w:sz w:val="24"/>
              </w:rPr>
              <w:t>5,88</w:t>
            </w:r>
          </w:p>
        </w:tc>
      </w:tr>
    </w:tbl>
    <w:p w:rsidR="00A73C82" w:rsidRDefault="00A73C82" w:rsidP="00A73C82">
      <w:pPr>
        <w:pStyle w:val="BodyText"/>
        <w:tabs>
          <w:tab w:val="clear" w:pos="0"/>
          <w:tab w:val="left" w:pos="-108"/>
        </w:tabs>
        <w:ind w:left="-108" w:right="-108"/>
        <w:jc w:val="left"/>
        <w:rPr>
          <w:sz w:val="22"/>
          <w:lang w:val="lv-LV"/>
        </w:rPr>
      </w:pPr>
    </w:p>
    <w:p w:rsidR="00A73C82" w:rsidRDefault="00A73C82" w:rsidP="00A73C82">
      <w:pPr>
        <w:pStyle w:val="BodyText"/>
        <w:tabs>
          <w:tab w:val="clear" w:pos="0"/>
          <w:tab w:val="left" w:pos="-108"/>
        </w:tabs>
        <w:ind w:left="-108" w:right="-108"/>
        <w:jc w:val="left"/>
        <w:rPr>
          <w:sz w:val="22"/>
          <w:lang w:val="lv-LV"/>
        </w:rPr>
      </w:pPr>
      <w:r>
        <w:rPr>
          <w:sz w:val="22"/>
          <w:lang w:val="lv-LV"/>
        </w:rPr>
        <w:t>* Piedāvātā vienību kopējā cena pēc aritmētisko kļūdu labošanas.</w:t>
      </w:r>
    </w:p>
    <w:p w:rsidR="00A73C82" w:rsidRDefault="00A73C82" w:rsidP="00A73C82">
      <w:pPr>
        <w:pStyle w:val="BodyText"/>
        <w:tabs>
          <w:tab w:val="clear" w:pos="0"/>
          <w:tab w:val="left" w:pos="-108"/>
        </w:tabs>
        <w:ind w:left="-108" w:right="-108"/>
        <w:jc w:val="left"/>
        <w:rPr>
          <w:lang w:val="lv-LV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A73C82" w:rsidRDefault="00A73C82" w:rsidP="00960392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  <w:p w:rsidR="00A73C82" w:rsidRDefault="00A73C82" w:rsidP="00A73C82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A73C82" w:rsidRDefault="00A73C82" w:rsidP="00A73C82">
      <w:pPr>
        <w:ind w:left="360" w:right="-1054"/>
        <w:rPr>
          <w:b/>
          <w:bCs/>
          <w:lang w:val="lv-LV"/>
        </w:rPr>
      </w:pPr>
    </w:p>
    <w:p w:rsidR="00A73C82" w:rsidRDefault="00A73C82" w:rsidP="00A73C8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Pretendenti, kuriem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 xml:space="preserve">1.daļai - </w:t>
            </w:r>
            <w:r w:rsidRPr="00A73C82">
              <w:rPr>
                <w:bCs/>
                <w:lang w:val="lv-LV"/>
              </w:rPr>
              <w:t>ZS “AVOTIŅI”,</w:t>
            </w:r>
            <w:r w:rsidRPr="00A73C82">
              <w:rPr>
                <w:lang w:val="lv-LV"/>
              </w:rPr>
              <w:t xml:space="preserve"> </w:t>
            </w:r>
            <w:r w:rsidRPr="00A73C82">
              <w:rPr>
                <w:bCs/>
                <w:lang w:val="lv-LV"/>
              </w:rPr>
              <w:t>SIA “Garšu galerija”, SIA “MARGRET”,  SIA “JTES”, SIA “</w:t>
            </w:r>
            <w:proofErr w:type="spellStart"/>
            <w:r w:rsidRPr="00A73C82">
              <w:rPr>
                <w:bCs/>
                <w:lang w:val="lv-LV"/>
              </w:rPr>
              <w:t>Evits</w:t>
            </w:r>
            <w:proofErr w:type="spellEnd"/>
            <w:r w:rsidRPr="00A73C82">
              <w:rPr>
                <w:bCs/>
                <w:lang w:val="lv-LV"/>
              </w:rPr>
              <w:t xml:space="preserve">”, </w:t>
            </w:r>
            <w:proofErr w:type="spellStart"/>
            <w:r w:rsidRPr="00A73C82">
              <w:rPr>
                <w:bCs/>
                <w:lang w:val="lv-LV"/>
              </w:rPr>
              <w:t>I.K.”Bīriņi</w:t>
            </w:r>
            <w:proofErr w:type="spellEnd"/>
            <w:r w:rsidRPr="00A73C82">
              <w:rPr>
                <w:bCs/>
                <w:lang w:val="lv-LV"/>
              </w:rPr>
              <w:t xml:space="preserve"> L.S.”, SIA “</w:t>
            </w:r>
            <w:proofErr w:type="spellStart"/>
            <w:r w:rsidRPr="00A73C82">
              <w:rPr>
                <w:bCs/>
                <w:lang w:val="lv-LV"/>
              </w:rPr>
              <w:t>Il</w:t>
            </w:r>
            <w:proofErr w:type="spellEnd"/>
            <w:r w:rsidRPr="00A73C82">
              <w:rPr>
                <w:bCs/>
                <w:lang w:val="lv-LV"/>
              </w:rPr>
              <w:t>-Vi-Do”, SIA “Krustpils ceļavējš”</w:t>
            </w:r>
          </w:p>
          <w:p w:rsidR="00A73C82" w:rsidRDefault="00A73C82" w:rsidP="00960392">
            <w:pPr>
              <w:rPr>
                <w:bCs/>
                <w:lang w:val="lv-LV"/>
              </w:rPr>
            </w:pPr>
            <w:r>
              <w:rPr>
                <w:lang w:val="lv-LV"/>
              </w:rPr>
              <w:t>2.daļai –</w:t>
            </w:r>
            <w:r>
              <w:rPr>
                <w:b/>
                <w:bCs/>
                <w:lang w:val="lv-LV"/>
              </w:rPr>
              <w:t xml:space="preserve"> </w:t>
            </w:r>
            <w:r w:rsidRPr="00A73C82">
              <w:rPr>
                <w:bCs/>
                <w:lang w:val="lv-LV"/>
              </w:rPr>
              <w:t>ZS “AVOTIŅI”,</w:t>
            </w:r>
            <w:r w:rsidRPr="00A73C82">
              <w:rPr>
                <w:lang w:val="lv-LV"/>
              </w:rPr>
              <w:t xml:space="preserve"> </w:t>
            </w:r>
            <w:r w:rsidRPr="00A73C82">
              <w:rPr>
                <w:bCs/>
                <w:lang w:val="lv-LV"/>
              </w:rPr>
              <w:t>SIA “Garšu galerija”, SIA “MARGRET”,  SIA “JTES”, SIA “</w:t>
            </w:r>
            <w:proofErr w:type="spellStart"/>
            <w:r w:rsidRPr="00A73C82">
              <w:rPr>
                <w:bCs/>
                <w:lang w:val="lv-LV"/>
              </w:rPr>
              <w:t>Evits</w:t>
            </w:r>
            <w:proofErr w:type="spellEnd"/>
            <w:r w:rsidRPr="00A73C82">
              <w:rPr>
                <w:bCs/>
                <w:lang w:val="lv-LV"/>
              </w:rPr>
              <w:t xml:space="preserve">”, </w:t>
            </w:r>
            <w:proofErr w:type="spellStart"/>
            <w:r w:rsidRPr="00A73C82">
              <w:rPr>
                <w:bCs/>
                <w:lang w:val="lv-LV"/>
              </w:rPr>
              <w:t>I.K.”Bīriņi</w:t>
            </w:r>
            <w:proofErr w:type="spellEnd"/>
            <w:r w:rsidRPr="00A73C82">
              <w:rPr>
                <w:bCs/>
                <w:lang w:val="lv-LV"/>
              </w:rPr>
              <w:t xml:space="preserve"> L.S.”, SIA “</w:t>
            </w:r>
            <w:proofErr w:type="spellStart"/>
            <w:r w:rsidRPr="00A73C82">
              <w:rPr>
                <w:bCs/>
                <w:lang w:val="lv-LV"/>
              </w:rPr>
              <w:t>Il</w:t>
            </w:r>
            <w:proofErr w:type="spellEnd"/>
            <w:r w:rsidRPr="00A73C82">
              <w:rPr>
                <w:bCs/>
                <w:lang w:val="lv-LV"/>
              </w:rPr>
              <w:t>-Vi-Do”, SIA “Krustpils ceļavējš”</w:t>
            </w:r>
          </w:p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 xml:space="preserve">3.daļai </w:t>
            </w:r>
            <w:r>
              <w:rPr>
                <w:lang w:val="lv-LV"/>
              </w:rPr>
              <w:t xml:space="preserve">- </w:t>
            </w:r>
            <w:r w:rsidRPr="00A73C82">
              <w:rPr>
                <w:bCs/>
                <w:lang w:val="lv-LV"/>
              </w:rPr>
              <w:t>ZS “AVOTIŅI”,</w:t>
            </w:r>
            <w:r w:rsidRPr="00A73C82">
              <w:rPr>
                <w:lang w:val="lv-LV"/>
              </w:rPr>
              <w:t xml:space="preserve"> </w:t>
            </w:r>
            <w:r w:rsidRPr="00A73C82">
              <w:rPr>
                <w:bCs/>
                <w:lang w:val="lv-LV"/>
              </w:rPr>
              <w:t>SIA “Garšu galerija”, SIA “MARGRET”,  SIA “JTES”, SIA “</w:t>
            </w:r>
            <w:proofErr w:type="spellStart"/>
            <w:r w:rsidRPr="00A73C82">
              <w:rPr>
                <w:bCs/>
                <w:lang w:val="lv-LV"/>
              </w:rPr>
              <w:t>Evits</w:t>
            </w:r>
            <w:proofErr w:type="spellEnd"/>
            <w:r w:rsidRPr="00A73C82">
              <w:rPr>
                <w:bCs/>
                <w:lang w:val="lv-LV"/>
              </w:rPr>
              <w:t xml:space="preserve">”, </w:t>
            </w:r>
            <w:proofErr w:type="spellStart"/>
            <w:r w:rsidRPr="00A73C82">
              <w:rPr>
                <w:bCs/>
                <w:lang w:val="lv-LV"/>
              </w:rPr>
              <w:t>I.K.”Bīriņi</w:t>
            </w:r>
            <w:proofErr w:type="spellEnd"/>
            <w:r w:rsidRPr="00A73C82">
              <w:rPr>
                <w:bCs/>
                <w:lang w:val="lv-LV"/>
              </w:rPr>
              <w:t xml:space="preserve"> L.S.”, SIA “</w:t>
            </w:r>
            <w:proofErr w:type="spellStart"/>
            <w:r w:rsidRPr="00A73C82">
              <w:rPr>
                <w:bCs/>
                <w:lang w:val="lv-LV"/>
              </w:rPr>
              <w:t>Il</w:t>
            </w:r>
            <w:proofErr w:type="spellEnd"/>
            <w:r w:rsidRPr="00A73C82">
              <w:rPr>
                <w:bCs/>
                <w:lang w:val="lv-LV"/>
              </w:rPr>
              <w:t>-Vi-Do”, SIA “Krustpils ceļavējš”</w:t>
            </w:r>
          </w:p>
          <w:p w:rsidR="00A73C82" w:rsidRDefault="00A73C82" w:rsidP="00A73C82">
            <w:pPr>
              <w:rPr>
                <w:bCs/>
                <w:lang w:val="lv-LV"/>
              </w:rPr>
            </w:pPr>
            <w:r>
              <w:rPr>
                <w:lang w:val="lv-LV"/>
              </w:rPr>
              <w:t xml:space="preserve">4.daļai – </w:t>
            </w:r>
            <w:r w:rsidRPr="00A73C82">
              <w:rPr>
                <w:bCs/>
                <w:lang w:val="lv-LV"/>
              </w:rPr>
              <w:t>ZS “AVOTIŅI”,</w:t>
            </w:r>
            <w:r w:rsidRPr="00A73C82">
              <w:rPr>
                <w:lang w:val="lv-LV"/>
              </w:rPr>
              <w:t xml:space="preserve"> </w:t>
            </w:r>
            <w:r w:rsidRPr="00A73C82">
              <w:rPr>
                <w:bCs/>
                <w:lang w:val="lv-LV"/>
              </w:rPr>
              <w:t>SIA “Garšu galerija”, SIA “MARGRET”,  SIA “JTES”, SIA “</w:t>
            </w:r>
            <w:proofErr w:type="spellStart"/>
            <w:r w:rsidRPr="00A73C82">
              <w:rPr>
                <w:bCs/>
                <w:lang w:val="lv-LV"/>
              </w:rPr>
              <w:t>Evits</w:t>
            </w:r>
            <w:proofErr w:type="spellEnd"/>
            <w:r w:rsidRPr="00A73C82">
              <w:rPr>
                <w:bCs/>
                <w:lang w:val="lv-LV"/>
              </w:rPr>
              <w:t>”, SIA “</w:t>
            </w:r>
            <w:proofErr w:type="spellStart"/>
            <w:r w:rsidRPr="00A73C82">
              <w:rPr>
                <w:bCs/>
                <w:lang w:val="lv-LV"/>
              </w:rPr>
              <w:t>Il</w:t>
            </w:r>
            <w:proofErr w:type="spellEnd"/>
            <w:r w:rsidRPr="00A73C82">
              <w:rPr>
                <w:bCs/>
                <w:lang w:val="lv-LV"/>
              </w:rPr>
              <w:t>-Vi-Do”, SIA “Krustpils ceļavējš”</w:t>
            </w:r>
          </w:p>
          <w:p w:rsidR="00A73C82" w:rsidRDefault="00A73C82" w:rsidP="00A73C82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5.daļai - </w:t>
            </w:r>
            <w:r w:rsidRPr="00A73C82">
              <w:rPr>
                <w:bCs/>
                <w:lang w:val="lv-LV"/>
              </w:rPr>
              <w:t>ZS “AVOTIŅI”,</w:t>
            </w:r>
            <w:r w:rsidRPr="00A73C82">
              <w:rPr>
                <w:lang w:val="lv-LV"/>
              </w:rPr>
              <w:t xml:space="preserve"> </w:t>
            </w:r>
            <w:r w:rsidRPr="00A73C82">
              <w:rPr>
                <w:bCs/>
                <w:lang w:val="lv-LV"/>
              </w:rPr>
              <w:t>SIA “Garšu galerija”, SIA “MARGRET”,  SIA “JTES”, SIA “</w:t>
            </w:r>
            <w:proofErr w:type="spellStart"/>
            <w:r w:rsidRPr="00A73C82">
              <w:rPr>
                <w:bCs/>
                <w:lang w:val="lv-LV"/>
              </w:rPr>
              <w:t>Evits</w:t>
            </w:r>
            <w:proofErr w:type="spellEnd"/>
            <w:r w:rsidRPr="00A73C82">
              <w:rPr>
                <w:bCs/>
                <w:lang w:val="lv-LV"/>
              </w:rPr>
              <w:t>”, SIA “</w:t>
            </w:r>
            <w:proofErr w:type="spellStart"/>
            <w:r w:rsidRPr="00A73C82">
              <w:rPr>
                <w:bCs/>
                <w:lang w:val="lv-LV"/>
              </w:rPr>
              <w:t>Il</w:t>
            </w:r>
            <w:proofErr w:type="spellEnd"/>
            <w:r w:rsidRPr="00A73C82">
              <w:rPr>
                <w:bCs/>
                <w:lang w:val="lv-LV"/>
              </w:rPr>
              <w:t>-Vi-Do”, SIA “Krustpils ceļavējš”</w:t>
            </w:r>
          </w:p>
          <w:p w:rsidR="00A73C82" w:rsidRDefault="00A73C82" w:rsidP="00A73C82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6.daļai - </w:t>
            </w:r>
            <w:r w:rsidRPr="00A73C82">
              <w:rPr>
                <w:bCs/>
                <w:lang w:val="lv-LV"/>
              </w:rPr>
              <w:t>ZS “AVOTIŅI”,</w:t>
            </w:r>
            <w:r w:rsidRPr="00A73C82">
              <w:rPr>
                <w:lang w:val="lv-LV"/>
              </w:rPr>
              <w:t xml:space="preserve"> </w:t>
            </w:r>
            <w:r w:rsidRPr="00A73C82">
              <w:rPr>
                <w:bCs/>
                <w:lang w:val="lv-LV"/>
              </w:rPr>
              <w:t>SIA “Garšu galerija”, SIA “MARGRET”,  SIA “JTES”, SIA “</w:t>
            </w:r>
            <w:proofErr w:type="spellStart"/>
            <w:r w:rsidRPr="00A73C82">
              <w:rPr>
                <w:bCs/>
                <w:lang w:val="lv-LV"/>
              </w:rPr>
              <w:t>Evits</w:t>
            </w:r>
            <w:proofErr w:type="spellEnd"/>
            <w:r w:rsidRPr="00A73C82">
              <w:rPr>
                <w:bCs/>
                <w:lang w:val="lv-LV"/>
              </w:rPr>
              <w:t>”, SIA “</w:t>
            </w:r>
            <w:proofErr w:type="spellStart"/>
            <w:r w:rsidRPr="00A73C82">
              <w:rPr>
                <w:bCs/>
                <w:lang w:val="lv-LV"/>
              </w:rPr>
              <w:t>Il</w:t>
            </w:r>
            <w:proofErr w:type="spellEnd"/>
            <w:r w:rsidRPr="00A73C82">
              <w:rPr>
                <w:bCs/>
                <w:lang w:val="lv-LV"/>
              </w:rPr>
              <w:t>-Vi-Do”, SIA “Krustpils ceļavējš”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Piedāvājumi ar viszemāko cenu, kas atbilst Nolikuma prasībām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A73C82">
            <w:pPr>
              <w:ind w:right="189" w:firstLine="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uz </w:t>
            </w:r>
            <w:r>
              <w:rPr>
                <w:lang w:val="lv-LV"/>
              </w:rPr>
              <w:t>12</w:t>
            </w:r>
            <w:r>
              <w:rPr>
                <w:lang w:val="lv-LV"/>
              </w:rPr>
              <w:t xml:space="preserve"> mēnešiem </w:t>
            </w:r>
            <w:r w:rsidRPr="00A73C82">
              <w:rPr>
                <w:lang w:val="lv-LV"/>
              </w:rPr>
              <w:t>par piedāvātajām publiskā iepirkuma daļām</w:t>
            </w:r>
            <w:r w:rsidRPr="00A73C82">
              <w:rPr>
                <w:bCs/>
                <w:lang w:val="lv-LV"/>
              </w:rPr>
              <w:t xml:space="preserve"> par </w:t>
            </w:r>
            <w:r w:rsidRPr="00A73C82">
              <w:rPr>
                <w:color w:val="000000"/>
                <w:lang w:val="lv-LV"/>
              </w:rPr>
              <w:t xml:space="preserve">piedāvāto </w:t>
            </w:r>
            <w:r>
              <w:rPr>
                <w:color w:val="000000"/>
                <w:lang w:val="lv-LV"/>
              </w:rPr>
              <w:t>vienības</w:t>
            </w:r>
            <w:r w:rsidRPr="00A73C82">
              <w:rPr>
                <w:color w:val="000000"/>
                <w:lang w:val="lv-LV"/>
              </w:rPr>
              <w:t xml:space="preserve"> cenu </w:t>
            </w:r>
            <w:r w:rsidRPr="00A73C82">
              <w:rPr>
                <w:bCs/>
                <w:lang w:val="lv-LV"/>
              </w:rPr>
              <w:t>vai līdz summas EUR 16 528,93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(sešpadsmit tūkstoši pieci simti divdesmit astoņi </w:t>
            </w:r>
            <w:proofErr w:type="spellStart"/>
            <w:r w:rsidRPr="005E370D">
              <w:rPr>
                <w:i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93 centi) </w:t>
            </w:r>
            <w:r w:rsidRPr="00A73C82">
              <w:rPr>
                <w:bCs/>
                <w:lang w:val="lv-LV"/>
              </w:rPr>
              <w:t>bez PVN</w:t>
            </w:r>
            <w:r>
              <w:rPr>
                <w:lang w:val="lv-LV"/>
              </w:rPr>
              <w:t xml:space="preserve"> pilnīgai apguvei, atkarībā no tā, kurš no nosacījumiem iestājas pirmais</w:t>
            </w:r>
          </w:p>
        </w:tc>
      </w:tr>
      <w:tr w:rsidR="00A73C82" w:rsidTr="0096039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22.04.2015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85</w:t>
            </w:r>
          </w:p>
          <w:p w:rsidR="00A73C82" w:rsidRDefault="00A73C82" w:rsidP="00960392">
            <w:pPr>
              <w:rPr>
                <w:lang w:val="lv-LV"/>
              </w:rPr>
            </w:pPr>
            <w:r>
              <w:rPr>
                <w:lang w:val="lv-LV"/>
              </w:rPr>
              <w:t>29.04.2015.</w:t>
            </w:r>
            <w:r>
              <w:rPr>
                <w:lang w:val="lv-LV"/>
              </w:rPr>
              <w:t xml:space="preserve"> Piedāvājumu atvēršanas sanāksmes protokols Nr.</w:t>
            </w:r>
            <w:r>
              <w:rPr>
                <w:lang w:val="lv-LV"/>
              </w:rPr>
              <w:t>92</w:t>
            </w:r>
          </w:p>
          <w:p w:rsidR="00A73C82" w:rsidRDefault="00A73C82" w:rsidP="0096039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29.04.2015</w:t>
            </w:r>
            <w:r>
              <w:rPr>
                <w:lang w:val="lv-LV"/>
              </w:rPr>
              <w:t>. Piedāvājumu vērtēšanas sēdes protokols Nr.</w:t>
            </w:r>
          </w:p>
          <w:p w:rsidR="00A73C82" w:rsidRDefault="00A73C82" w:rsidP="0096039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93</w:t>
            </w:r>
          </w:p>
        </w:tc>
      </w:tr>
    </w:tbl>
    <w:p w:rsidR="00A73C82" w:rsidRDefault="00A73C82" w:rsidP="00A73C82">
      <w:pPr>
        <w:ind w:left="360" w:right="-1054" w:hanging="360"/>
        <w:rPr>
          <w:b/>
          <w:bCs/>
          <w:lang w:val="lv-LV"/>
        </w:rPr>
      </w:pPr>
    </w:p>
    <w:p w:rsidR="00A73C82" w:rsidRDefault="00A73C82" w:rsidP="00A73C82">
      <w:pPr>
        <w:ind w:left="360" w:right="-1054" w:hanging="360"/>
        <w:rPr>
          <w:b/>
          <w:bCs/>
          <w:lang w:val="lv-LV"/>
        </w:rPr>
      </w:pPr>
    </w:p>
    <w:p w:rsidR="00A73C82" w:rsidRDefault="00A73C82" w:rsidP="00A73C8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A73C82" w:rsidTr="00960392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A73C82" w:rsidRDefault="00A73C82" w:rsidP="0096039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A73C82" w:rsidRDefault="00A73C82" w:rsidP="00A73C82"/>
    <w:p w:rsidR="00A73C82" w:rsidRDefault="00A73C82" w:rsidP="00A73C8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73C82" w:rsidRDefault="00A73C82" w:rsidP="00A73C8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A73C82" w:rsidRDefault="00A73C82" w:rsidP="00A73C8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73C82" w:rsidRDefault="00A73C82" w:rsidP="00A73C8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860611"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A73C82" w:rsidRDefault="00A73C82" w:rsidP="00A73C8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73C82" w:rsidRDefault="00A73C82" w:rsidP="00A73C8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A73C82" w:rsidRDefault="00A73C82" w:rsidP="00A73C82"/>
    <w:p w:rsidR="00A73C82" w:rsidRDefault="00A73C82" w:rsidP="00A73C82"/>
    <w:p w:rsidR="003441ED" w:rsidRDefault="003441ED"/>
    <w:sectPr w:rsidR="003441ED">
      <w:footerReference w:type="even" r:id="rId5"/>
      <w:footerReference w:type="default" r:id="rId6"/>
      <w:pgSz w:w="11906" w:h="16838"/>
      <w:pgMar w:top="1078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59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2759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59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00000" w:rsidRDefault="002759B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82"/>
    <w:rsid w:val="000604EE"/>
    <w:rsid w:val="002759B7"/>
    <w:rsid w:val="003441ED"/>
    <w:rsid w:val="00860611"/>
    <w:rsid w:val="00A73C82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F2262-7DD5-40F0-A49F-B84029EA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8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73C8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A73C8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A73C8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C8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73C8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A73C82"/>
    <w:rPr>
      <w:rFonts w:eastAsia="Times New Roman" w:cs="Times New Roman"/>
      <w:b/>
      <w:bCs/>
      <w:sz w:val="28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A73C82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A73C82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A73C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73C8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A73C82"/>
  </w:style>
  <w:style w:type="paragraph" w:styleId="Subtitle">
    <w:name w:val="Subtitle"/>
    <w:basedOn w:val="Normal"/>
    <w:link w:val="SubtitleChar"/>
    <w:qFormat/>
    <w:rsid w:val="00A73C8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A73C82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A73C8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73C82"/>
    <w:rPr>
      <w:rFonts w:eastAsia="Times New Roman" w:cs="Times New Roman"/>
      <w:sz w:val="20"/>
      <w:szCs w:val="24"/>
      <w:lang w:val="en-US"/>
    </w:rPr>
  </w:style>
  <w:style w:type="paragraph" w:customStyle="1" w:styleId="xl23">
    <w:name w:val="xl23"/>
    <w:basedOn w:val="Normal"/>
    <w:rsid w:val="00A73C8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B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3218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2015-04-30T09:44:00Z</cp:lastPrinted>
  <dcterms:created xsi:type="dcterms:W3CDTF">2015-04-30T09:32:00Z</dcterms:created>
  <dcterms:modified xsi:type="dcterms:W3CDTF">2015-04-30T09:45:00Z</dcterms:modified>
</cp:coreProperties>
</file>