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6CC1" w14:textId="77777777" w:rsidR="000D5F56" w:rsidRPr="00316821" w:rsidRDefault="000D5F56" w:rsidP="000D5F56">
      <w:pPr>
        <w:pStyle w:val="Pamatteksts"/>
        <w:tabs>
          <w:tab w:val="left" w:pos="142"/>
          <w:tab w:val="left" w:pos="3555"/>
        </w:tabs>
        <w:spacing w:after="0"/>
        <w:ind w:right="43"/>
        <w:jc w:val="right"/>
      </w:pPr>
      <w:r w:rsidRPr="00316821">
        <w:t xml:space="preserve">2. pielikums </w:t>
      </w:r>
    </w:p>
    <w:p w14:paraId="545820D2" w14:textId="77777777" w:rsidR="000D5F56" w:rsidRPr="00316821" w:rsidRDefault="000D5F56" w:rsidP="000D5F56">
      <w:pPr>
        <w:pStyle w:val="Pamatteksts"/>
        <w:tabs>
          <w:tab w:val="left" w:pos="142"/>
          <w:tab w:val="left" w:pos="3555"/>
        </w:tabs>
        <w:spacing w:after="0"/>
        <w:ind w:right="43"/>
        <w:jc w:val="right"/>
      </w:pPr>
      <w:r w:rsidRPr="00316821">
        <w:t xml:space="preserve">Jēkabpils novada domes </w:t>
      </w:r>
    </w:p>
    <w:p w14:paraId="53F00A08" w14:textId="77777777" w:rsidR="000D5F56" w:rsidRPr="00316821" w:rsidRDefault="000D5F56" w:rsidP="000D5F56">
      <w:pPr>
        <w:widowControl w:val="0"/>
        <w:ind w:right="23"/>
        <w:jc w:val="right"/>
        <w:rPr>
          <w:lang w:val="lv-LV" w:eastAsia="lv-LV"/>
        </w:rPr>
      </w:pPr>
      <w:r>
        <w:rPr>
          <w:lang w:val="lv-LV" w:eastAsia="lv-LV"/>
        </w:rPr>
        <w:t>23.04</w:t>
      </w:r>
      <w:r w:rsidRPr="00316821">
        <w:rPr>
          <w:lang w:val="lv-LV" w:eastAsia="lv-LV"/>
        </w:rPr>
        <w:t>.2026. lēmumu Nr.</w:t>
      </w:r>
      <w:r>
        <w:rPr>
          <w:lang w:val="lv-LV" w:eastAsia="lv-LV"/>
        </w:rPr>
        <w:t>288</w:t>
      </w:r>
    </w:p>
    <w:p w14:paraId="3ABDA468" w14:textId="77777777" w:rsidR="000D5F56" w:rsidRPr="00316821" w:rsidRDefault="000D5F56" w:rsidP="000D5F56">
      <w:pPr>
        <w:widowControl w:val="0"/>
        <w:suppressAutoHyphens/>
        <w:jc w:val="right"/>
        <w:rPr>
          <w:rFonts w:eastAsia="Lucida Sans Unicode"/>
          <w:lang w:val="lv-LV"/>
        </w:rPr>
      </w:pPr>
      <w:r w:rsidRPr="00316821">
        <w:rPr>
          <w:rFonts w:eastAsia="Lucida Sans Unicode"/>
          <w:lang w:val="lv-LV"/>
        </w:rPr>
        <w:t xml:space="preserve"> (protokols Nr.</w:t>
      </w:r>
      <w:r>
        <w:rPr>
          <w:rFonts w:eastAsia="Lucida Sans Unicode"/>
          <w:lang w:val="lv-LV"/>
        </w:rPr>
        <w:t>9</w:t>
      </w:r>
      <w:r w:rsidRPr="00316821">
        <w:rPr>
          <w:rFonts w:eastAsia="Lucida Sans Unicode"/>
          <w:lang w:val="lv-LV"/>
        </w:rPr>
        <w:t xml:space="preserve">, </w:t>
      </w:r>
      <w:r>
        <w:rPr>
          <w:rFonts w:eastAsia="Lucida Sans Unicode"/>
          <w:lang w:val="lv-LV"/>
        </w:rPr>
        <w:t>33</w:t>
      </w:r>
      <w:r w:rsidRPr="00316821">
        <w:rPr>
          <w:rFonts w:eastAsia="Lucida Sans Unicode"/>
          <w:lang w:val="lv-LV"/>
        </w:rPr>
        <w:t>.§)</w:t>
      </w:r>
    </w:p>
    <w:p w14:paraId="1858F8E9" w14:textId="77777777" w:rsidR="000D5F56" w:rsidRPr="00316821" w:rsidRDefault="000D5F56" w:rsidP="000D5F56">
      <w:pPr>
        <w:pStyle w:val="Pamatteksts"/>
        <w:tabs>
          <w:tab w:val="left" w:pos="142"/>
          <w:tab w:val="left" w:pos="3555"/>
        </w:tabs>
        <w:spacing w:after="0"/>
        <w:ind w:right="43"/>
        <w:jc w:val="both"/>
      </w:pPr>
    </w:p>
    <w:p w14:paraId="2851AEEE" w14:textId="77777777" w:rsidR="000D5F56" w:rsidRPr="00316821" w:rsidRDefault="000D5F56" w:rsidP="000D5F56">
      <w:pPr>
        <w:pStyle w:val="Pamatteksts"/>
        <w:tabs>
          <w:tab w:val="left" w:pos="142"/>
          <w:tab w:val="left" w:pos="3555"/>
        </w:tabs>
        <w:spacing w:after="0"/>
        <w:ind w:right="43"/>
        <w:jc w:val="center"/>
      </w:pPr>
      <w:r w:rsidRPr="00316821">
        <w:t xml:space="preserve">Publicējamā informācija par Apbūves tiesības izsoles objektu – </w:t>
      </w:r>
      <w:r w:rsidRPr="00316821">
        <w:rPr>
          <w:lang w:eastAsia="lv-LV"/>
        </w:rPr>
        <w:t>nekustamā īpašuma ar kadastra numuru 56010021113 Mežaparka iela 3, Jēkabpils, Jēkabpils novads, zemes vienība ar kadastra apzīmējumu 56010020288, 3423 m</w:t>
      </w:r>
      <w:r w:rsidRPr="00316821">
        <w:rPr>
          <w:vertAlign w:val="superscript"/>
          <w:lang w:eastAsia="lv-LV"/>
        </w:rPr>
        <w:t>2</w:t>
      </w:r>
      <w:r w:rsidRPr="00316821">
        <w:rPr>
          <w:lang w:eastAsia="lv-LV"/>
        </w:rPr>
        <w:t xml:space="preserve"> platībā</w:t>
      </w:r>
    </w:p>
    <w:p w14:paraId="60B0A159" w14:textId="77777777" w:rsidR="000D5F56" w:rsidRPr="00316821" w:rsidRDefault="000D5F56" w:rsidP="000D5F56">
      <w:pPr>
        <w:pStyle w:val="Pamatteksts"/>
        <w:tabs>
          <w:tab w:val="left" w:pos="142"/>
          <w:tab w:val="left" w:pos="3555"/>
        </w:tabs>
        <w:spacing w:after="0"/>
        <w:ind w:right="43"/>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7231"/>
      </w:tblGrid>
      <w:tr w:rsidR="000D5F56" w:rsidRPr="00B171DE" w14:paraId="2A5FB396" w14:textId="77777777" w:rsidTr="00AA1E69">
        <w:tc>
          <w:tcPr>
            <w:tcW w:w="3369" w:type="dxa"/>
          </w:tcPr>
          <w:p w14:paraId="732AB8B5" w14:textId="77777777" w:rsidR="000D5F56" w:rsidRPr="00316821" w:rsidRDefault="000D5F56" w:rsidP="00AA1E69">
            <w:pPr>
              <w:pStyle w:val="Pamatteksts"/>
              <w:tabs>
                <w:tab w:val="left" w:pos="142"/>
                <w:tab w:val="left" w:pos="3555"/>
              </w:tabs>
              <w:spacing w:after="0"/>
              <w:ind w:right="43"/>
              <w:jc w:val="both"/>
            </w:pPr>
            <w:r w:rsidRPr="00316821">
              <w:t>1.Apbūves tiesības piešķīrējs.</w:t>
            </w:r>
          </w:p>
        </w:tc>
        <w:tc>
          <w:tcPr>
            <w:tcW w:w="6378" w:type="dxa"/>
          </w:tcPr>
          <w:p w14:paraId="48FCEEBD" w14:textId="77777777" w:rsidR="000D5F56" w:rsidRPr="00316821" w:rsidRDefault="000D5F56" w:rsidP="00AA1E69">
            <w:pPr>
              <w:pStyle w:val="Pamatteksts"/>
              <w:tabs>
                <w:tab w:val="left" w:pos="142"/>
                <w:tab w:val="left" w:pos="3555"/>
              </w:tabs>
              <w:spacing w:after="0"/>
              <w:ind w:right="43"/>
              <w:jc w:val="both"/>
            </w:pPr>
            <w:r w:rsidRPr="00316821">
              <w:t>Jēkabpils novada pašvaldība, reģistrācijas Nr.90000024205, adrese: Brīvības iela 120, Jēkabpils, Jēkabpils novads.</w:t>
            </w:r>
          </w:p>
        </w:tc>
      </w:tr>
      <w:tr w:rsidR="000D5F56" w:rsidRPr="00B171DE" w14:paraId="4076D655" w14:textId="77777777" w:rsidTr="00AA1E69">
        <w:tc>
          <w:tcPr>
            <w:tcW w:w="3369" w:type="dxa"/>
          </w:tcPr>
          <w:p w14:paraId="34793CB0" w14:textId="77777777" w:rsidR="000D5F56" w:rsidRPr="00316821" w:rsidRDefault="000D5F56" w:rsidP="00AA1E69">
            <w:pPr>
              <w:pStyle w:val="Pamatteksts"/>
              <w:tabs>
                <w:tab w:val="left" w:pos="142"/>
                <w:tab w:val="left" w:pos="3555"/>
              </w:tabs>
              <w:spacing w:after="0"/>
              <w:ind w:right="43"/>
              <w:jc w:val="both"/>
            </w:pPr>
            <w:r w:rsidRPr="00316821">
              <w:t>2.Apbūves tiesības izsoles objekts.</w:t>
            </w:r>
          </w:p>
        </w:tc>
        <w:tc>
          <w:tcPr>
            <w:tcW w:w="6378" w:type="dxa"/>
          </w:tcPr>
          <w:p w14:paraId="2A19F272" w14:textId="77777777" w:rsidR="000D5F56" w:rsidRPr="00316821" w:rsidRDefault="000D5F56" w:rsidP="00AA1E69">
            <w:pPr>
              <w:pStyle w:val="Pamatteksts"/>
              <w:tabs>
                <w:tab w:val="left" w:pos="142"/>
                <w:tab w:val="left" w:pos="3555"/>
              </w:tabs>
              <w:spacing w:after="0"/>
              <w:ind w:right="43"/>
              <w:jc w:val="both"/>
            </w:pPr>
            <w:r w:rsidRPr="00316821">
              <w:rPr>
                <w:lang w:eastAsia="lv-LV"/>
              </w:rPr>
              <w:t>nekustamā īpašuma ar kadastra numuru 56010021113 Mežaparka iela 3, Jēkabpils, Jēkabpils novads, zemes vienība ar kadastra apzīmējumu 56010020288, 3423 m</w:t>
            </w:r>
            <w:r w:rsidRPr="00316821">
              <w:rPr>
                <w:vertAlign w:val="superscript"/>
                <w:lang w:eastAsia="lv-LV"/>
              </w:rPr>
              <w:t>2</w:t>
            </w:r>
            <w:r w:rsidRPr="00316821">
              <w:rPr>
                <w:lang w:eastAsia="lv-LV"/>
              </w:rPr>
              <w:t xml:space="preserve"> platībā</w:t>
            </w:r>
          </w:p>
        </w:tc>
      </w:tr>
      <w:tr w:rsidR="000D5F56" w:rsidRPr="00B171DE" w14:paraId="70E4045F" w14:textId="77777777" w:rsidTr="00AA1E69">
        <w:tc>
          <w:tcPr>
            <w:tcW w:w="3369" w:type="dxa"/>
          </w:tcPr>
          <w:p w14:paraId="2A094955" w14:textId="77777777" w:rsidR="000D5F56" w:rsidRPr="00316821" w:rsidRDefault="000D5F56" w:rsidP="00AA1E69">
            <w:pPr>
              <w:pStyle w:val="Pamatteksts"/>
              <w:tabs>
                <w:tab w:val="left" w:pos="142"/>
                <w:tab w:val="left" w:pos="3555"/>
              </w:tabs>
              <w:spacing w:after="0"/>
              <w:ind w:right="43"/>
              <w:jc w:val="both"/>
            </w:pPr>
            <w:r w:rsidRPr="00316821">
              <w:t>2.1.Apbūves tiesības izsoles objekta apbūves tiesības mērķis.</w:t>
            </w:r>
          </w:p>
        </w:tc>
        <w:tc>
          <w:tcPr>
            <w:tcW w:w="6378" w:type="dxa"/>
          </w:tcPr>
          <w:p w14:paraId="414EFC2C" w14:textId="77777777" w:rsidR="000D5F56" w:rsidRPr="00316821" w:rsidRDefault="000D5F56" w:rsidP="00AA1E69">
            <w:pPr>
              <w:widowControl w:val="0"/>
              <w:shd w:val="clear" w:color="auto" w:fill="FFFFFF"/>
              <w:spacing w:line="274" w:lineRule="exact"/>
              <w:ind w:right="20"/>
              <w:jc w:val="both"/>
              <w:rPr>
                <w:lang w:val="lv-LV" w:eastAsia="lv-LV"/>
              </w:rPr>
            </w:pPr>
            <w:r w:rsidRPr="00316821">
              <w:rPr>
                <w:rFonts w:eastAsia="Calibri"/>
                <w:lang w:val="lv-LV" w:eastAsia="lv-LV"/>
              </w:rPr>
              <w:t>celt un lietot</w:t>
            </w:r>
            <w:r w:rsidRPr="00316821">
              <w:rPr>
                <w:rFonts w:eastAsia="Calibri"/>
                <w:sz w:val="20"/>
                <w:szCs w:val="20"/>
                <w:lang w:val="lv-LV" w:eastAsia="lv-LV"/>
              </w:rPr>
              <w:t xml:space="preserve"> </w:t>
            </w:r>
            <w:r w:rsidRPr="00316821">
              <w:rPr>
                <w:lang w:val="lv-LV"/>
              </w:rPr>
              <w:t>inženiertīklu un objektu izbūvi elektroenerģijas resursu pārvadei, uzglabāšanai, sadalei un pievadei nepieciešamās inženiertehniskās iekārtas (būves), ietverot aprīkojumu, iekārtas, ierīces.</w:t>
            </w:r>
          </w:p>
          <w:p w14:paraId="0E2D09F7" w14:textId="77777777" w:rsidR="000D5F56" w:rsidRPr="00316821" w:rsidRDefault="000D5F56" w:rsidP="00AA1E69">
            <w:pPr>
              <w:pStyle w:val="Pamatteksts"/>
              <w:tabs>
                <w:tab w:val="left" w:pos="142"/>
                <w:tab w:val="left" w:pos="3555"/>
              </w:tabs>
              <w:spacing w:after="0"/>
              <w:ind w:right="43"/>
              <w:jc w:val="both"/>
            </w:pPr>
          </w:p>
        </w:tc>
      </w:tr>
      <w:tr w:rsidR="000D5F56" w:rsidRPr="00B171DE" w14:paraId="6ADA96AE" w14:textId="77777777" w:rsidTr="00AA1E69">
        <w:tc>
          <w:tcPr>
            <w:tcW w:w="3369" w:type="dxa"/>
          </w:tcPr>
          <w:p w14:paraId="7688A0D4" w14:textId="77777777" w:rsidR="000D5F56" w:rsidRPr="00316821" w:rsidRDefault="000D5F56" w:rsidP="00AA1E69">
            <w:pPr>
              <w:pStyle w:val="Pamatteksts"/>
              <w:tabs>
                <w:tab w:val="left" w:pos="142"/>
                <w:tab w:val="left" w:pos="3555"/>
              </w:tabs>
              <w:spacing w:after="0"/>
              <w:ind w:right="43"/>
              <w:jc w:val="both"/>
            </w:pPr>
            <w:r w:rsidRPr="00316821">
              <w:t>3. Apbūves tiesības izsoles objekta raksturojums:</w:t>
            </w:r>
          </w:p>
        </w:tc>
        <w:tc>
          <w:tcPr>
            <w:tcW w:w="6378" w:type="dxa"/>
          </w:tcPr>
          <w:p w14:paraId="728EC9A4" w14:textId="77777777" w:rsidR="000D5F56" w:rsidRPr="00316821" w:rsidRDefault="000D5F56" w:rsidP="00AA1E69">
            <w:pPr>
              <w:pStyle w:val="Pamatteksts"/>
              <w:tabs>
                <w:tab w:val="left" w:pos="142"/>
                <w:tab w:val="left" w:pos="3555"/>
              </w:tabs>
              <w:spacing w:after="0"/>
              <w:ind w:right="43"/>
              <w:jc w:val="both"/>
            </w:pPr>
            <w:bookmarkStart w:id="0" w:name="_Hlk218575073"/>
            <w:r w:rsidRPr="00316821">
              <w:t>Trīsstūra formas, garākā mala ~ 125 m robežojas ar Mežaparka ielu un stāvlaukumu, ar mala ~ 67 m robežojas ar transformatoru apakšstacijas teritoriju, ar malu ~ 75 m robežojas ar darbnīcu un garāžu apbūves teritoriju. Piekļūšana pie zemes gabala no stāvlaukuma, nav izbūvēta. Reljefs līdzens. Nav labiekārtota, daļa zemes platības ir apaugusi ar priežu koku jaunaudzi.</w:t>
            </w:r>
            <w:bookmarkEnd w:id="0"/>
          </w:p>
        </w:tc>
      </w:tr>
      <w:tr w:rsidR="000D5F56" w:rsidRPr="00B171DE" w14:paraId="1296FB98" w14:textId="77777777" w:rsidTr="00AA1E69">
        <w:tc>
          <w:tcPr>
            <w:tcW w:w="3369" w:type="dxa"/>
          </w:tcPr>
          <w:p w14:paraId="5ED38606" w14:textId="77777777" w:rsidR="000D5F56" w:rsidRPr="00316821" w:rsidRDefault="000D5F56" w:rsidP="00AA1E69">
            <w:pPr>
              <w:pStyle w:val="Pamatteksts"/>
              <w:tabs>
                <w:tab w:val="left" w:pos="142"/>
                <w:tab w:val="left" w:pos="3555"/>
              </w:tabs>
              <w:spacing w:after="0"/>
              <w:ind w:right="43"/>
              <w:jc w:val="both"/>
            </w:pPr>
            <w:r w:rsidRPr="00316821">
              <w:t>3.1.Veids, kadastra numurs, adrese, sastāvs, cita apbūves tiesības objektu raksturojoša informācija</w:t>
            </w:r>
          </w:p>
        </w:tc>
        <w:tc>
          <w:tcPr>
            <w:tcW w:w="6378" w:type="dxa"/>
          </w:tcPr>
          <w:p w14:paraId="73C974E9" w14:textId="77777777" w:rsidR="000D5F56" w:rsidRPr="00316821" w:rsidRDefault="000D5F56" w:rsidP="00AA1E69">
            <w:pPr>
              <w:pStyle w:val="Pamatteksts"/>
              <w:tabs>
                <w:tab w:val="left" w:pos="142"/>
                <w:tab w:val="left" w:pos="3555"/>
              </w:tabs>
              <w:spacing w:after="0"/>
              <w:ind w:right="43"/>
              <w:jc w:val="both"/>
            </w:pPr>
            <w:r w:rsidRPr="00316821">
              <w:rPr>
                <w:lang w:eastAsia="lv-LV"/>
              </w:rPr>
              <w:t>Nekustamā īpašuma ar kadastra numuru 56010021113 Mežaparka iela 3, Jēkabpils, Jēkabpils novads, zemes vienība ar kadastra apzīmējumu 56010020288, 3423 m</w:t>
            </w:r>
            <w:r w:rsidRPr="00316821">
              <w:rPr>
                <w:vertAlign w:val="superscript"/>
                <w:lang w:eastAsia="lv-LV"/>
              </w:rPr>
              <w:t>2</w:t>
            </w:r>
            <w:r w:rsidRPr="00316821">
              <w:rPr>
                <w:lang w:eastAsia="lv-LV"/>
              </w:rPr>
              <w:t xml:space="preserve"> platībā.</w:t>
            </w:r>
            <w:r w:rsidRPr="00316821">
              <w:t xml:space="preserve"> </w:t>
            </w:r>
            <w:bookmarkStart w:id="1" w:name="_Hlk218575172"/>
            <w:r w:rsidRPr="00316821">
              <w:t>Īpašums pieder Jēkabpils novada pašvaldībai un īpašuma tiesības nostiprinātas Jēkabpils pilsētas zemesgrāmatas nodalījumā Nr.100000527583.</w:t>
            </w:r>
            <w:bookmarkEnd w:id="1"/>
          </w:p>
        </w:tc>
      </w:tr>
      <w:tr w:rsidR="000D5F56" w:rsidRPr="00B171DE" w14:paraId="2C855D83" w14:textId="77777777" w:rsidTr="00AA1E69">
        <w:tc>
          <w:tcPr>
            <w:tcW w:w="3369" w:type="dxa"/>
          </w:tcPr>
          <w:p w14:paraId="453EADE4" w14:textId="77777777" w:rsidR="000D5F56" w:rsidRPr="00316821" w:rsidRDefault="000D5F56" w:rsidP="00AA1E69">
            <w:pPr>
              <w:pStyle w:val="Pamatteksts"/>
              <w:tabs>
                <w:tab w:val="left" w:pos="142"/>
                <w:tab w:val="left" w:pos="3555"/>
              </w:tabs>
              <w:spacing w:after="0"/>
              <w:ind w:right="43"/>
              <w:jc w:val="both"/>
            </w:pPr>
            <w:r w:rsidRPr="00316821">
              <w:t>3.2. Apbūves tiesības izsoles objekta lietošanas mērķis.</w:t>
            </w:r>
          </w:p>
        </w:tc>
        <w:tc>
          <w:tcPr>
            <w:tcW w:w="6378" w:type="dxa"/>
          </w:tcPr>
          <w:p w14:paraId="10A1DC19" w14:textId="77777777" w:rsidR="000D5F56" w:rsidRPr="00316821" w:rsidRDefault="000D5F56" w:rsidP="00AA1E69">
            <w:pPr>
              <w:pStyle w:val="Pamatteksts"/>
              <w:tabs>
                <w:tab w:val="left" w:pos="142"/>
                <w:tab w:val="left" w:pos="3555"/>
              </w:tabs>
              <w:spacing w:after="0"/>
              <w:ind w:right="43"/>
              <w:jc w:val="both"/>
            </w:pPr>
            <w:r w:rsidRPr="00316821">
              <w:t>3.2.1.Atbilstoši Jēkabpils novada domes 2025.gada 29.maija saistošajiem noteikumiem Nr. 9 “Jēkabpils novada teritorijas plānojuma teritorijas izmantošanas un apbūves noteikumi un grafiskā daļa” (spēkā no 05.06.2025.), kas īstenojami no 03.09.2025 un apstiprināti ar Jēkabpils novada domes 2025.gada 29.maija lēmums Nr.354 (prot. Nr. 9, 30. §), Izsoles objekts atrodas funkcionālajā zonā  “Publiskās apbūves teritorija ar transporta apkopes servisa objektiem (P1)”. Izsoles objektam noteikts lietošanas mērķis - maģistrālajām elektropārvades un sakaru līnijām un maģistrālajiem naftas, naftas produktu, ķīmisko produktu, gāzes un ūdens cauruļvadiem saistīto būvju, ūdens ņemšanas un notekūdeņu attīrīšanas būvju apbūve (NĪLM kods 1201).</w:t>
            </w:r>
          </w:p>
        </w:tc>
      </w:tr>
      <w:tr w:rsidR="000D5F56" w:rsidRPr="00B171DE" w14:paraId="51565330" w14:textId="77777777" w:rsidTr="00AA1E69">
        <w:tc>
          <w:tcPr>
            <w:tcW w:w="3369" w:type="dxa"/>
          </w:tcPr>
          <w:p w14:paraId="1361276F" w14:textId="77777777" w:rsidR="000D5F56" w:rsidRPr="00316821" w:rsidRDefault="000D5F56" w:rsidP="00AA1E69">
            <w:pPr>
              <w:pStyle w:val="Pamatteksts"/>
              <w:tabs>
                <w:tab w:val="left" w:pos="142"/>
                <w:tab w:val="left" w:pos="3555"/>
              </w:tabs>
              <w:spacing w:after="0"/>
              <w:ind w:right="43"/>
              <w:jc w:val="both"/>
            </w:pPr>
            <w:r w:rsidRPr="00316821">
              <w:t>3.3.Apbūves tiesību izsoles objekta apgrūtinājumi.</w:t>
            </w:r>
          </w:p>
        </w:tc>
        <w:tc>
          <w:tcPr>
            <w:tcW w:w="6378" w:type="dxa"/>
          </w:tcPr>
          <w:p w14:paraId="113293AF" w14:textId="77777777" w:rsidR="000D5F56" w:rsidRPr="00316821" w:rsidRDefault="000D5F56" w:rsidP="00AA1E69">
            <w:pPr>
              <w:widowControl w:val="0"/>
              <w:tabs>
                <w:tab w:val="left" w:pos="0"/>
                <w:tab w:val="left" w:pos="709"/>
                <w:tab w:val="left" w:pos="1701"/>
              </w:tabs>
              <w:suppressAutoHyphens/>
              <w:snapToGrid w:val="0"/>
              <w:jc w:val="both"/>
              <w:rPr>
                <w:lang w:val="lv-LV"/>
              </w:rPr>
            </w:pPr>
            <w:r w:rsidRPr="00316821">
              <w:rPr>
                <w:lang w:val="lv-LV"/>
              </w:rPr>
              <w:t>3.3.1. Lauku zemei izvērtējamo apgrūtinājumu pārklājuma teritorija zemes kadastrālās vērtības aprēķinam 0,0004 ha;</w:t>
            </w:r>
          </w:p>
          <w:p w14:paraId="5C58698E" w14:textId="77777777" w:rsidR="000D5F56" w:rsidRPr="00316821" w:rsidRDefault="000D5F56" w:rsidP="00AA1E69">
            <w:pPr>
              <w:widowControl w:val="0"/>
              <w:tabs>
                <w:tab w:val="left" w:pos="0"/>
                <w:tab w:val="left" w:pos="709"/>
                <w:tab w:val="left" w:pos="1701"/>
              </w:tabs>
              <w:suppressAutoHyphens/>
              <w:snapToGrid w:val="0"/>
              <w:jc w:val="both"/>
              <w:rPr>
                <w:lang w:val="lv-LV"/>
              </w:rPr>
            </w:pPr>
            <w:r w:rsidRPr="00316821">
              <w:rPr>
                <w:lang w:val="lv-LV"/>
              </w:rPr>
              <w:t>3.3.2. ekspluatācijas aizsargjoslas teritorija ap elektrisko tīklu gaisvadu līniju pilsētās un ciemos ar nominālo spriegumu 110 kilovolti 0,0004 ha;</w:t>
            </w:r>
          </w:p>
          <w:p w14:paraId="46D64347" w14:textId="77777777" w:rsidR="000D5F56" w:rsidRPr="00316821" w:rsidRDefault="000D5F56" w:rsidP="00AA1E69">
            <w:pPr>
              <w:widowControl w:val="0"/>
              <w:tabs>
                <w:tab w:val="left" w:pos="0"/>
                <w:tab w:val="left" w:pos="709"/>
                <w:tab w:val="left" w:pos="1701"/>
              </w:tabs>
              <w:suppressAutoHyphens/>
              <w:snapToGrid w:val="0"/>
              <w:jc w:val="both"/>
              <w:rPr>
                <w:lang w:val="lv-LV"/>
              </w:rPr>
            </w:pPr>
            <w:r w:rsidRPr="00316821">
              <w:rPr>
                <w:lang w:val="lv-LV"/>
              </w:rPr>
              <w:t>3.3.3. Pārējās apbūves zemei izvērtējamo apgrūtinājumu pārklājuma teritorija zemes kadastrālās vērtības aprēķinam 0,0004 ha;</w:t>
            </w:r>
          </w:p>
          <w:p w14:paraId="24DFDAB4" w14:textId="77777777" w:rsidR="000D5F56" w:rsidRPr="00316821" w:rsidRDefault="000D5F56" w:rsidP="00AA1E69">
            <w:pPr>
              <w:widowControl w:val="0"/>
              <w:tabs>
                <w:tab w:val="left" w:pos="0"/>
                <w:tab w:val="left" w:pos="709"/>
                <w:tab w:val="left" w:pos="1701"/>
              </w:tabs>
              <w:suppressAutoHyphens/>
              <w:snapToGrid w:val="0"/>
              <w:jc w:val="both"/>
              <w:rPr>
                <w:lang w:val="lv-LV"/>
              </w:rPr>
            </w:pPr>
            <w:r w:rsidRPr="00316821">
              <w:rPr>
                <w:lang w:val="lv-LV"/>
              </w:rPr>
              <w:t xml:space="preserve">3.3.4. ekspluatācijas aizsargjoslas teritorija ap ūdensvadu, kas atrodas līdz 2 metru dziļumam 0,0476 ha; </w:t>
            </w:r>
          </w:p>
          <w:p w14:paraId="3AD5F20C" w14:textId="77777777" w:rsidR="000D5F56" w:rsidRPr="00316821" w:rsidRDefault="000D5F56" w:rsidP="00AA1E69">
            <w:pPr>
              <w:widowControl w:val="0"/>
              <w:tabs>
                <w:tab w:val="left" w:pos="0"/>
                <w:tab w:val="left" w:pos="709"/>
                <w:tab w:val="left" w:pos="1701"/>
              </w:tabs>
              <w:suppressAutoHyphens/>
              <w:snapToGrid w:val="0"/>
              <w:jc w:val="both"/>
              <w:rPr>
                <w:lang w:val="lv-LV"/>
              </w:rPr>
            </w:pPr>
            <w:r w:rsidRPr="00316821">
              <w:rPr>
                <w:lang w:val="lv-LV"/>
              </w:rPr>
              <w:t xml:space="preserve">3.3.5. Dzīvojamās apbūves zemei izvērtējamo apgrūtinājumu pārklājuma </w:t>
            </w:r>
            <w:r w:rsidRPr="00316821">
              <w:rPr>
                <w:lang w:val="lv-LV"/>
              </w:rPr>
              <w:lastRenderedPageBreak/>
              <w:t>teritorija zemes kadastrālās vērtības aprēķinam 0,0004 ha;</w:t>
            </w:r>
          </w:p>
          <w:p w14:paraId="3CB39B37" w14:textId="77777777" w:rsidR="000D5F56" w:rsidRPr="00316821" w:rsidRDefault="000D5F56" w:rsidP="00AA1E69">
            <w:pPr>
              <w:widowControl w:val="0"/>
              <w:tabs>
                <w:tab w:val="left" w:pos="0"/>
                <w:tab w:val="left" w:pos="709"/>
                <w:tab w:val="left" w:pos="1701"/>
              </w:tabs>
              <w:suppressAutoHyphens/>
              <w:snapToGrid w:val="0"/>
              <w:jc w:val="both"/>
              <w:rPr>
                <w:rFonts w:eastAsia="Lucida Sans Unicode"/>
                <w:kern w:val="2"/>
                <w:lang w:val="lv-LV"/>
              </w:rPr>
            </w:pPr>
            <w:r w:rsidRPr="00316821">
              <w:rPr>
                <w:lang w:val="lv-LV"/>
              </w:rPr>
              <w:t>3.3.6. ekspluatācijas aizsargjoslas teritorija gar elektrisko tīklu kabeļu līniju 0,0599 ha.</w:t>
            </w:r>
          </w:p>
        </w:tc>
      </w:tr>
      <w:tr w:rsidR="000D5F56" w:rsidRPr="00B171DE" w14:paraId="242D38A7" w14:textId="77777777" w:rsidTr="00AA1E69">
        <w:tc>
          <w:tcPr>
            <w:tcW w:w="3369" w:type="dxa"/>
          </w:tcPr>
          <w:p w14:paraId="77C239D7" w14:textId="77777777" w:rsidR="000D5F56" w:rsidRPr="00316821" w:rsidRDefault="000D5F56" w:rsidP="00AA1E69">
            <w:pPr>
              <w:pStyle w:val="Pamatteksts"/>
              <w:tabs>
                <w:tab w:val="left" w:pos="142"/>
                <w:tab w:val="left" w:pos="3555"/>
              </w:tabs>
              <w:spacing w:after="0"/>
              <w:ind w:right="43"/>
              <w:jc w:val="both"/>
            </w:pPr>
            <w:r w:rsidRPr="00316821">
              <w:lastRenderedPageBreak/>
              <w:t xml:space="preserve">4. Izsoles veids. </w:t>
            </w:r>
          </w:p>
        </w:tc>
        <w:tc>
          <w:tcPr>
            <w:tcW w:w="6378" w:type="dxa"/>
          </w:tcPr>
          <w:p w14:paraId="7131F266" w14:textId="77777777" w:rsidR="000D5F56" w:rsidRPr="00316821" w:rsidRDefault="000D5F56" w:rsidP="00AA1E69">
            <w:pPr>
              <w:pStyle w:val="Pamatteksts"/>
              <w:tabs>
                <w:tab w:val="left" w:pos="142"/>
                <w:tab w:val="left" w:pos="3555"/>
              </w:tabs>
              <w:spacing w:after="0"/>
              <w:ind w:right="43"/>
              <w:jc w:val="both"/>
            </w:pPr>
            <w:r w:rsidRPr="00316821">
              <w:t>Pirmā atklātā un mutiskā izsole ar augšupejošu soli.</w:t>
            </w:r>
          </w:p>
        </w:tc>
      </w:tr>
      <w:tr w:rsidR="000D5F56" w:rsidRPr="00B171DE" w14:paraId="0E3DC488" w14:textId="77777777" w:rsidTr="00AA1E69">
        <w:tc>
          <w:tcPr>
            <w:tcW w:w="3369" w:type="dxa"/>
          </w:tcPr>
          <w:p w14:paraId="75E33369" w14:textId="77777777" w:rsidR="000D5F56" w:rsidRPr="00316821" w:rsidRDefault="000D5F56" w:rsidP="00AA1E69">
            <w:pPr>
              <w:pStyle w:val="Pamatteksts"/>
              <w:tabs>
                <w:tab w:val="left" w:pos="142"/>
                <w:tab w:val="left" w:pos="3555"/>
              </w:tabs>
              <w:spacing w:after="0"/>
              <w:ind w:right="43"/>
              <w:jc w:val="both"/>
            </w:pPr>
            <w:r w:rsidRPr="00316821">
              <w:t>5. Izsoles nosacītā apbūves tiesības mēnesī maksa, kas ir arī apbūves tiesības izsoles objekta sākotnējā nosacītā apbūves tiesības mēnesī  maksa.</w:t>
            </w:r>
          </w:p>
        </w:tc>
        <w:tc>
          <w:tcPr>
            <w:tcW w:w="6378" w:type="dxa"/>
          </w:tcPr>
          <w:p w14:paraId="28382DB2" w14:textId="77777777" w:rsidR="000D5F56" w:rsidRPr="00316821" w:rsidRDefault="000D5F56" w:rsidP="00AA1E69">
            <w:pPr>
              <w:pStyle w:val="Pamatteksts"/>
              <w:tabs>
                <w:tab w:val="left" w:pos="142"/>
                <w:tab w:val="left" w:pos="3555"/>
              </w:tabs>
              <w:spacing w:after="0"/>
              <w:ind w:right="43"/>
              <w:jc w:val="both"/>
            </w:pPr>
            <w:r w:rsidRPr="00316821">
              <w:t xml:space="preserve">55,00 </w:t>
            </w:r>
            <w:proofErr w:type="spellStart"/>
            <w:r w:rsidRPr="00316821">
              <w:t>euro</w:t>
            </w:r>
            <w:proofErr w:type="spellEnd"/>
            <w:r w:rsidRPr="00316821">
              <w:t xml:space="preserve"> mēnesī (bez Pievienotas vērtības nodokļa un nekustamā īpašuma nodokļa), saskaņā ar sertificēta nekustamā īpašuma vērtētāja 2025.gada 22.aprīļa vērtējumu Nr.25-169.</w:t>
            </w:r>
          </w:p>
        </w:tc>
      </w:tr>
      <w:tr w:rsidR="000D5F56" w:rsidRPr="00316821" w14:paraId="14019834" w14:textId="77777777" w:rsidTr="00AA1E69">
        <w:tc>
          <w:tcPr>
            <w:tcW w:w="3369" w:type="dxa"/>
          </w:tcPr>
          <w:p w14:paraId="72A95817" w14:textId="77777777" w:rsidR="000D5F56" w:rsidRPr="00316821" w:rsidRDefault="000D5F56" w:rsidP="00AA1E69">
            <w:pPr>
              <w:pStyle w:val="Pamatteksts"/>
              <w:tabs>
                <w:tab w:val="left" w:pos="142"/>
                <w:tab w:val="left" w:pos="3555"/>
              </w:tabs>
              <w:spacing w:after="0"/>
              <w:ind w:right="43"/>
              <w:jc w:val="both"/>
            </w:pPr>
            <w:r w:rsidRPr="00316821">
              <w:t>6. Izsoles solis.</w:t>
            </w:r>
          </w:p>
        </w:tc>
        <w:tc>
          <w:tcPr>
            <w:tcW w:w="6378" w:type="dxa"/>
          </w:tcPr>
          <w:p w14:paraId="65A55D85" w14:textId="77777777" w:rsidR="000D5F56" w:rsidRPr="00316821" w:rsidRDefault="000D5F56" w:rsidP="00AA1E69">
            <w:pPr>
              <w:pStyle w:val="Pamatteksts"/>
              <w:tabs>
                <w:tab w:val="left" w:pos="142"/>
                <w:tab w:val="left" w:pos="3555"/>
              </w:tabs>
              <w:spacing w:after="0"/>
              <w:ind w:right="43"/>
              <w:jc w:val="both"/>
            </w:pPr>
            <w:r w:rsidRPr="00316821">
              <w:t xml:space="preserve">10,00 </w:t>
            </w:r>
            <w:proofErr w:type="spellStart"/>
            <w:r w:rsidRPr="00316821">
              <w:t>euro</w:t>
            </w:r>
            <w:proofErr w:type="spellEnd"/>
            <w:r w:rsidRPr="00316821">
              <w:t>.</w:t>
            </w:r>
          </w:p>
        </w:tc>
      </w:tr>
      <w:tr w:rsidR="000D5F56" w:rsidRPr="00B171DE" w14:paraId="2D99C471" w14:textId="77777777" w:rsidTr="00AA1E69">
        <w:tc>
          <w:tcPr>
            <w:tcW w:w="3369" w:type="dxa"/>
          </w:tcPr>
          <w:p w14:paraId="1C38B10D" w14:textId="77777777" w:rsidR="000D5F56" w:rsidRPr="00316821" w:rsidRDefault="000D5F56" w:rsidP="00AA1E69">
            <w:pPr>
              <w:pStyle w:val="Pamatteksts"/>
              <w:tabs>
                <w:tab w:val="left" w:pos="142"/>
                <w:tab w:val="left" w:pos="3555"/>
              </w:tabs>
              <w:spacing w:after="0"/>
              <w:ind w:right="43"/>
              <w:jc w:val="both"/>
            </w:pPr>
            <w:r w:rsidRPr="00316821">
              <w:t>7. Iznomāšanas termiņš.</w:t>
            </w:r>
          </w:p>
        </w:tc>
        <w:tc>
          <w:tcPr>
            <w:tcW w:w="6378" w:type="dxa"/>
          </w:tcPr>
          <w:p w14:paraId="45ECEF01" w14:textId="77777777" w:rsidR="000D5F56" w:rsidRPr="00316821" w:rsidRDefault="000D5F56" w:rsidP="00AA1E69">
            <w:pPr>
              <w:pStyle w:val="Pamatteksts"/>
              <w:tabs>
                <w:tab w:val="left" w:pos="142"/>
                <w:tab w:val="left" w:pos="3555"/>
              </w:tabs>
              <w:spacing w:after="0"/>
              <w:ind w:right="43"/>
              <w:jc w:val="both"/>
            </w:pPr>
            <w:r w:rsidRPr="00316821">
              <w:t>20 gadi no līguma parakstīšanas brīža.</w:t>
            </w:r>
          </w:p>
        </w:tc>
      </w:tr>
      <w:tr w:rsidR="000D5F56" w:rsidRPr="00B171DE" w14:paraId="4AE6CF4A" w14:textId="77777777" w:rsidTr="00AA1E69">
        <w:tc>
          <w:tcPr>
            <w:tcW w:w="3369" w:type="dxa"/>
          </w:tcPr>
          <w:p w14:paraId="7F11FD09" w14:textId="77777777" w:rsidR="000D5F56" w:rsidRPr="00316821" w:rsidRDefault="000D5F56" w:rsidP="00AA1E69">
            <w:pPr>
              <w:pStyle w:val="Pamatteksts"/>
              <w:tabs>
                <w:tab w:val="left" w:pos="142"/>
                <w:tab w:val="left" w:pos="3555"/>
              </w:tabs>
              <w:spacing w:after="0"/>
              <w:ind w:right="43"/>
              <w:jc w:val="both"/>
            </w:pPr>
            <w:r w:rsidRPr="00316821">
              <w:t>8. Apbūves tiesības izsoles objekta īpašie nosacījumi.</w:t>
            </w:r>
          </w:p>
        </w:tc>
        <w:tc>
          <w:tcPr>
            <w:tcW w:w="6378" w:type="dxa"/>
          </w:tcPr>
          <w:p w14:paraId="7025483D" w14:textId="77777777" w:rsidR="000D5F56" w:rsidRPr="00316821" w:rsidRDefault="000D5F56" w:rsidP="00AA1E69">
            <w:pPr>
              <w:pStyle w:val="Pamatteksts"/>
              <w:tabs>
                <w:tab w:val="left" w:pos="142"/>
                <w:tab w:val="left" w:pos="3555"/>
              </w:tabs>
              <w:spacing w:after="0"/>
              <w:ind w:right="45"/>
              <w:jc w:val="both"/>
            </w:pPr>
            <w:r w:rsidRPr="00316821">
              <w:t>8.1. Apbūves tiesība ir spēkā tikai pēc apbūves tiesības ierakstīšanas zemesgrāmatā, tā izbeidzas pati no sevis līdz ar zemesgrāmatā reģistrētā apbūves tiesības termiņa notecējumu (atbilstoši spēkā esošajiem normatīvajiem aktiem).</w:t>
            </w:r>
          </w:p>
          <w:p w14:paraId="615143AB" w14:textId="77777777" w:rsidR="000D5F56" w:rsidRPr="00316821" w:rsidRDefault="000D5F56" w:rsidP="00AA1E69">
            <w:pPr>
              <w:pStyle w:val="Pamatteksts"/>
              <w:tabs>
                <w:tab w:val="left" w:pos="142"/>
                <w:tab w:val="left" w:pos="3555"/>
              </w:tabs>
              <w:spacing w:after="0"/>
              <w:ind w:right="45"/>
              <w:jc w:val="both"/>
            </w:pPr>
            <w:r w:rsidRPr="00316821">
              <w:t xml:space="preserve">8.2. Apbūves tiesīgais apņemas patstāvīgi saņemt visus nepieciešamos saskaņojumus, t.sk. pirms būvniecības ieceres, saskaņojumu no  Akciju sabiedrības “Sadales tīkli” u.c., atļaujas, citus nepieciešamos dokumentus, ja tādi ir nepieciešami, lai izmantotu izsoles objektu Izsoles noteikumu 7. un 13.punktā norādītajam mērķim. </w:t>
            </w:r>
          </w:p>
          <w:p w14:paraId="059DEC8A" w14:textId="77777777" w:rsidR="000D5F56" w:rsidRPr="00316821" w:rsidRDefault="000D5F56" w:rsidP="00AA1E69">
            <w:pPr>
              <w:pStyle w:val="Pamatteksts"/>
              <w:tabs>
                <w:tab w:val="left" w:pos="142"/>
                <w:tab w:val="left" w:pos="3555"/>
              </w:tabs>
              <w:spacing w:after="0"/>
              <w:ind w:right="45"/>
              <w:jc w:val="both"/>
            </w:pPr>
            <w:r w:rsidRPr="00316821">
              <w:t>8.3. Pēc apbūves tiesības ierakstīšanas zemesgrāmatā Apbūves tiesīgais ir tiesīgs veikt objekta būvniecību saskaņā ar spēkā esošajiem normatīvajiem aktiem un izstrādāto un noteiktā kārtībā saskaņoto būvprojektu</w:t>
            </w:r>
          </w:p>
          <w:p w14:paraId="16880F73" w14:textId="77777777" w:rsidR="000D5F56" w:rsidRPr="00316821" w:rsidRDefault="000D5F56" w:rsidP="00AA1E69">
            <w:pPr>
              <w:pStyle w:val="Pamatteksts"/>
              <w:tabs>
                <w:tab w:val="left" w:pos="142"/>
                <w:tab w:val="left" w:pos="3555"/>
              </w:tabs>
              <w:spacing w:after="0"/>
              <w:ind w:right="45"/>
              <w:jc w:val="both"/>
            </w:pPr>
            <w:r w:rsidRPr="00316821">
              <w:t>8.4. Izsole objektā apbūves tiesīgajam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7CC573C8" w14:textId="77777777" w:rsidR="000D5F56" w:rsidRPr="00316821" w:rsidRDefault="000D5F56" w:rsidP="00AA1E69">
            <w:pPr>
              <w:pStyle w:val="Pamatteksts"/>
              <w:tabs>
                <w:tab w:val="left" w:pos="142"/>
                <w:tab w:val="left" w:pos="3555"/>
              </w:tabs>
              <w:spacing w:after="0"/>
              <w:ind w:right="45"/>
              <w:jc w:val="both"/>
            </w:pPr>
            <w:r w:rsidRPr="00316821">
              <w:t>8.5. Izsoles objektā jānodrošina visu esošo inženiertehniskās apgādes tīklu saglabāšanu (ja tādi ir), kā arī jānodrošina ekspluatācijas dienestu darbinieku iespēju brīvi piekļūt inženiertehniskās apgādes tīkliem. Nepieciešamības gadījumā apbūves tiesīgais ierīko jaunus inženiertehniskos tīklus par saviem līdzekļiem. Pieslēgšanos pie inženiertehniskās apgādes tīkliem apbūves tiesīgais veic par saviem līdzekļiem.</w:t>
            </w:r>
          </w:p>
          <w:p w14:paraId="3DF7CB06" w14:textId="77777777" w:rsidR="000D5F56" w:rsidRPr="00316821" w:rsidRDefault="000D5F56" w:rsidP="00AA1E69">
            <w:pPr>
              <w:pStyle w:val="Pamatteksts"/>
              <w:tabs>
                <w:tab w:val="left" w:pos="142"/>
                <w:tab w:val="left" w:pos="3555"/>
              </w:tabs>
              <w:spacing w:after="0"/>
              <w:ind w:right="45"/>
              <w:jc w:val="both"/>
            </w:pPr>
            <w:r w:rsidRPr="00316821">
              <w:t>8.6. Apbūves tiesīgajam Izsoles objektā maksimāli jāsaglabā esošais apaugums (koki, krūmi), nepieciešamības gadījumā jebkāda veida apauguma novākšana rakstiski jāsaskaņo ar Jēkabpils novada pašvaldību.</w:t>
            </w:r>
          </w:p>
          <w:p w14:paraId="66347952" w14:textId="77777777" w:rsidR="000D5F56" w:rsidRPr="00316821" w:rsidRDefault="000D5F56" w:rsidP="00AA1E69">
            <w:pPr>
              <w:pStyle w:val="Pamatteksts"/>
              <w:tabs>
                <w:tab w:val="left" w:pos="142"/>
                <w:tab w:val="left" w:pos="3555"/>
              </w:tabs>
              <w:spacing w:after="0"/>
              <w:ind w:right="45"/>
              <w:jc w:val="both"/>
            </w:pPr>
            <w:r w:rsidRPr="00316821">
              <w:t xml:space="preserve">8.7. Atkarībā no nepieciešamā inženiertīklu tehnoloģiskā risinājuma inženiertehniskās iekārtas (Inženiertehniskās būves) novietne, </w:t>
            </w:r>
            <w:proofErr w:type="spellStart"/>
            <w:r w:rsidRPr="00316821">
              <w:t>būvapjoms</w:t>
            </w:r>
            <w:proofErr w:type="spellEnd"/>
            <w:r w:rsidRPr="00316821">
              <w:t xml:space="preserve">, vizuālais risinājums saskaņojami ar Jēkabpils novada Attīstības pārvaldes arhitektu pirms dokumentācijas iesniegšanas būvvaldē, projekta sastāvā iekļaujot krāsainu </w:t>
            </w:r>
            <w:proofErr w:type="spellStart"/>
            <w:r w:rsidRPr="00316821">
              <w:t>vizualizāciju</w:t>
            </w:r>
            <w:proofErr w:type="spellEnd"/>
            <w:r w:rsidRPr="00316821">
              <w:t xml:space="preserve">. </w:t>
            </w:r>
          </w:p>
          <w:p w14:paraId="061F3E52" w14:textId="77777777" w:rsidR="000D5F56" w:rsidRPr="00316821" w:rsidRDefault="000D5F56" w:rsidP="00AA1E69">
            <w:pPr>
              <w:pStyle w:val="Pamatteksts"/>
              <w:tabs>
                <w:tab w:val="left" w:pos="142"/>
                <w:tab w:val="left" w:pos="3555"/>
              </w:tabs>
              <w:spacing w:after="0"/>
              <w:ind w:right="45"/>
              <w:jc w:val="both"/>
            </w:pPr>
            <w:r w:rsidRPr="00316821">
              <w:t xml:space="preserve">8.8. Apbūves tiesīgajam nav tiesības apbūves tiesību atsavināt, kā arī apgrūtināt ar lietu tiesībām. </w:t>
            </w:r>
          </w:p>
          <w:p w14:paraId="77A6891B" w14:textId="77777777" w:rsidR="000D5F56" w:rsidRPr="00316821" w:rsidRDefault="000D5F56" w:rsidP="00AA1E69">
            <w:pPr>
              <w:pStyle w:val="Pamatteksts"/>
              <w:tabs>
                <w:tab w:val="left" w:pos="142"/>
                <w:tab w:val="left" w:pos="3555"/>
              </w:tabs>
              <w:spacing w:after="0"/>
              <w:ind w:right="45"/>
              <w:jc w:val="both"/>
            </w:pPr>
            <w:r w:rsidRPr="00316821">
              <w:lastRenderedPageBreak/>
              <w:t>8.9. Citi nosacījumi – saskaņā ar Apbūves tiesības līgumu, kas ir Izsoles noteikumu neatņemama sastāvdaļa.</w:t>
            </w:r>
          </w:p>
        </w:tc>
      </w:tr>
      <w:tr w:rsidR="000D5F56" w:rsidRPr="00316821" w14:paraId="3D9773FF" w14:textId="77777777" w:rsidTr="00AA1E69">
        <w:tc>
          <w:tcPr>
            <w:tcW w:w="3369" w:type="dxa"/>
          </w:tcPr>
          <w:p w14:paraId="13AB14BD" w14:textId="77777777" w:rsidR="000D5F56" w:rsidRPr="00316821" w:rsidRDefault="000D5F56" w:rsidP="00AA1E69">
            <w:pPr>
              <w:pStyle w:val="Pamatteksts"/>
              <w:tabs>
                <w:tab w:val="left" w:pos="142"/>
                <w:tab w:val="left" w:pos="3555"/>
              </w:tabs>
              <w:spacing w:after="0"/>
              <w:ind w:right="43"/>
              <w:jc w:val="both"/>
            </w:pPr>
            <w:r w:rsidRPr="00316821">
              <w:lastRenderedPageBreak/>
              <w:t>9. Apbūves tiesību pretendentu pieteikšanās termiņš, iesniedzamie dokumenti.</w:t>
            </w:r>
          </w:p>
        </w:tc>
        <w:tc>
          <w:tcPr>
            <w:tcW w:w="6378" w:type="dxa"/>
          </w:tcPr>
          <w:p w14:paraId="25475BBF" w14:textId="77777777" w:rsidR="000D5F56" w:rsidRPr="00316821" w:rsidRDefault="000D5F56" w:rsidP="00AA1E69">
            <w:pPr>
              <w:pStyle w:val="Pamatteksts"/>
              <w:tabs>
                <w:tab w:val="left" w:pos="142"/>
                <w:tab w:val="left" w:pos="3555"/>
              </w:tabs>
              <w:spacing w:after="0"/>
              <w:ind w:right="43"/>
              <w:jc w:val="both"/>
            </w:pPr>
            <w:r w:rsidRPr="00316821">
              <w:t xml:space="preserve">Pieteikums dalībai izsolē jāiesniedz Jēkabpils novada iestādē “Jēkabpils novada Attīstības  pārvalde” Rīgas ielā 150A, Jēkabpilī, Jēkabpils novadā, vai, ja pieteikumu iesniedz parakstītu ar drošu elektronisko parakstu iesūtot to uz elektronisko pasta adresi: attistibas.parvalde@jekabpils.lv līdz </w:t>
            </w:r>
            <w:r w:rsidRPr="00316821">
              <w:rPr>
                <w:b/>
                <w:bCs/>
              </w:rPr>
              <w:t>2026.gada 20.maija plkst.12.00</w:t>
            </w:r>
            <w:r w:rsidRPr="00316821">
              <w:t>. Pa pastu sūtītas vēstules saņemšanas datumam pašvaldībā iestādē “Jēkabpils novada Attīstības  pārvalde” Rīgas ielā 150A, Jēkabpilī, Jēkabpils novadā ir jābūt ne vēlākam kā līdz 2026.gada 2.marta  plkst.12.00. Iesniedzamie dokumenti noteikti apbūves tiesības izsoles noteikumos.</w:t>
            </w:r>
          </w:p>
        </w:tc>
      </w:tr>
      <w:tr w:rsidR="000D5F56" w:rsidRPr="00B171DE" w14:paraId="72BD50D6" w14:textId="77777777" w:rsidTr="00AA1E69">
        <w:tc>
          <w:tcPr>
            <w:tcW w:w="3369" w:type="dxa"/>
          </w:tcPr>
          <w:p w14:paraId="7649CDA8" w14:textId="77777777" w:rsidR="000D5F56" w:rsidRPr="00316821" w:rsidRDefault="000D5F56" w:rsidP="00AA1E69">
            <w:pPr>
              <w:pStyle w:val="Pamatteksts"/>
              <w:tabs>
                <w:tab w:val="left" w:pos="142"/>
                <w:tab w:val="left" w:pos="3555"/>
              </w:tabs>
              <w:spacing w:after="0"/>
              <w:ind w:right="43"/>
              <w:jc w:val="both"/>
            </w:pPr>
            <w:r w:rsidRPr="00316821">
              <w:t>10. Dalības maksa, drošības nauda.</w:t>
            </w:r>
          </w:p>
        </w:tc>
        <w:tc>
          <w:tcPr>
            <w:tcW w:w="6378" w:type="dxa"/>
          </w:tcPr>
          <w:p w14:paraId="0863A5F0" w14:textId="77777777" w:rsidR="000D5F56" w:rsidRPr="00316821" w:rsidRDefault="000D5F56" w:rsidP="00AA1E69">
            <w:pPr>
              <w:pStyle w:val="Pamatteksts"/>
              <w:tabs>
                <w:tab w:val="left" w:pos="142"/>
                <w:tab w:val="left" w:pos="3555"/>
              </w:tabs>
              <w:spacing w:after="0"/>
              <w:ind w:right="43"/>
              <w:jc w:val="both"/>
            </w:pPr>
            <w:r w:rsidRPr="00316821">
              <w:t xml:space="preserve">Pirms pieteikuma par piedalīšanos izsolē iesniegšanas jāiemaksā kādā no Jēkabpils novada pašvaldības kontiem: </w:t>
            </w:r>
          </w:p>
          <w:p w14:paraId="71E19E0F" w14:textId="77777777" w:rsidR="000D5F56" w:rsidRPr="00316821" w:rsidRDefault="000D5F56" w:rsidP="00AA1E69">
            <w:pPr>
              <w:pStyle w:val="Pamatteksts"/>
              <w:tabs>
                <w:tab w:val="left" w:pos="142"/>
                <w:tab w:val="left" w:pos="3555"/>
              </w:tabs>
              <w:spacing w:after="0"/>
              <w:ind w:right="43"/>
            </w:pPr>
            <w:r w:rsidRPr="00316821">
              <w:t>• AS „SEB banka” Kods: UNLALV2X Konts: LV87UNLA0009013130793</w:t>
            </w:r>
          </w:p>
          <w:p w14:paraId="7779964A" w14:textId="77777777" w:rsidR="000D5F56" w:rsidRPr="00316821" w:rsidRDefault="000D5F56" w:rsidP="00AA1E69">
            <w:pPr>
              <w:pStyle w:val="Pamatteksts"/>
              <w:tabs>
                <w:tab w:val="left" w:pos="142"/>
                <w:tab w:val="left" w:pos="3555"/>
              </w:tabs>
              <w:spacing w:after="0"/>
              <w:ind w:right="43"/>
            </w:pPr>
            <w:r w:rsidRPr="00316821">
              <w:t xml:space="preserve"> • AS „Swedbank” Kods: HABALV22 Konts: LV75HABA0001401057077</w:t>
            </w:r>
          </w:p>
          <w:p w14:paraId="0E878401" w14:textId="77777777" w:rsidR="000D5F56" w:rsidRPr="00316821" w:rsidRDefault="000D5F56" w:rsidP="00AA1E69">
            <w:pPr>
              <w:pStyle w:val="Pamatteksts"/>
              <w:tabs>
                <w:tab w:val="left" w:pos="142"/>
                <w:tab w:val="left" w:pos="3555"/>
              </w:tabs>
              <w:spacing w:after="0"/>
              <w:ind w:right="43"/>
            </w:pPr>
            <w:r w:rsidRPr="00316821">
              <w:t xml:space="preserve"> • AS „Citadele banka” Kods: PARXLV22 Konts: LV29PARX0001051430001 </w:t>
            </w:r>
          </w:p>
          <w:p w14:paraId="7FDFDC39" w14:textId="77777777" w:rsidR="000D5F56" w:rsidRPr="00316821" w:rsidRDefault="000D5F56" w:rsidP="00AA1E69">
            <w:pPr>
              <w:pStyle w:val="Pamatteksts"/>
              <w:tabs>
                <w:tab w:val="left" w:pos="142"/>
                <w:tab w:val="left" w:pos="3555"/>
              </w:tabs>
              <w:ind w:right="43"/>
              <w:jc w:val="both"/>
            </w:pPr>
            <w:r w:rsidRPr="00316821">
              <w:t xml:space="preserve">10.1. Dalības maksu  50,00 </w:t>
            </w:r>
            <w:proofErr w:type="spellStart"/>
            <w:r w:rsidRPr="00316821">
              <w:t>euro</w:t>
            </w:r>
            <w:proofErr w:type="spellEnd"/>
            <w:r w:rsidRPr="00316821">
              <w:t xml:space="preserve"> (piecdesmit eiro un 00 centi) apmērā (maksājuma uzdevumā norāda šādu informāciju: dalības maksa apbūves tiesību izsolei Mežaparka iela 3, Jēkabpils, Jēkabpils novads).</w:t>
            </w:r>
          </w:p>
          <w:p w14:paraId="4A1069F2" w14:textId="77777777" w:rsidR="000D5F56" w:rsidRPr="00316821" w:rsidRDefault="000D5F56" w:rsidP="00AA1E69">
            <w:pPr>
              <w:pStyle w:val="Pamatteksts"/>
              <w:tabs>
                <w:tab w:val="left" w:pos="142"/>
                <w:tab w:val="left" w:pos="3555"/>
              </w:tabs>
              <w:spacing w:after="0"/>
              <w:ind w:right="43"/>
              <w:jc w:val="both"/>
            </w:pPr>
            <w:r w:rsidRPr="00316821">
              <w:t xml:space="preserve">10.2. drošības naudu 70,00 </w:t>
            </w:r>
            <w:proofErr w:type="spellStart"/>
            <w:r w:rsidRPr="00316821">
              <w:t>euro</w:t>
            </w:r>
            <w:proofErr w:type="spellEnd"/>
            <w:r w:rsidRPr="00316821">
              <w:t xml:space="preserve"> (septiņdesmit eiro un 00 centi) apmērā (maksājuma uzdevumā norāda šādu informāciju: drošības nauda apbūves tiesības izsolei apbūves tiesību izsolei Mežaparka iela 3, Jēkabpils, Jēkabpils novads)</w:t>
            </w:r>
          </w:p>
        </w:tc>
      </w:tr>
      <w:tr w:rsidR="000D5F56" w:rsidRPr="00B171DE" w14:paraId="6D29F73B" w14:textId="77777777" w:rsidTr="00AA1E69">
        <w:tc>
          <w:tcPr>
            <w:tcW w:w="3369" w:type="dxa"/>
          </w:tcPr>
          <w:p w14:paraId="63D31F78" w14:textId="77777777" w:rsidR="000D5F56" w:rsidRPr="00316821" w:rsidRDefault="000D5F56" w:rsidP="00AA1E69">
            <w:pPr>
              <w:pStyle w:val="Pamatteksts"/>
              <w:tabs>
                <w:tab w:val="left" w:pos="142"/>
                <w:tab w:val="left" w:pos="3555"/>
              </w:tabs>
              <w:spacing w:after="0"/>
              <w:ind w:right="43"/>
              <w:jc w:val="both"/>
            </w:pPr>
            <w:r w:rsidRPr="00316821">
              <w:t>11. Izsoles datums, laiks un vieta.</w:t>
            </w:r>
          </w:p>
        </w:tc>
        <w:tc>
          <w:tcPr>
            <w:tcW w:w="6378" w:type="dxa"/>
          </w:tcPr>
          <w:p w14:paraId="356B3701" w14:textId="77777777" w:rsidR="000D5F56" w:rsidRPr="00316821" w:rsidRDefault="000D5F56" w:rsidP="00AA1E69">
            <w:pPr>
              <w:pStyle w:val="Pamatteksts"/>
              <w:tabs>
                <w:tab w:val="left" w:pos="142"/>
                <w:tab w:val="left" w:pos="3555"/>
              </w:tabs>
              <w:spacing w:after="0"/>
              <w:ind w:right="43"/>
              <w:jc w:val="both"/>
            </w:pPr>
            <w:r w:rsidRPr="00316821">
              <w:rPr>
                <w:b/>
                <w:bCs/>
              </w:rPr>
              <w:t>2026.gada 22.maijā plkst.10.00</w:t>
            </w:r>
            <w:r w:rsidRPr="00316821">
              <w:t xml:space="preserve"> </w:t>
            </w:r>
            <w:r w:rsidRPr="00316821">
              <w:rPr>
                <w:rFonts w:eastAsia="Calibri"/>
              </w:rPr>
              <w:t>Jēkabpils novada Attīstības pārvaldē, Rīgas ielā 150A, Jēkabpilī, Jēkabpils novadā, 1.stāvā, sēžu zālē.</w:t>
            </w:r>
          </w:p>
        </w:tc>
      </w:tr>
      <w:tr w:rsidR="000D5F56" w:rsidRPr="00B171DE" w14:paraId="115208D1" w14:textId="77777777" w:rsidTr="00AA1E69">
        <w:tc>
          <w:tcPr>
            <w:tcW w:w="3369" w:type="dxa"/>
          </w:tcPr>
          <w:p w14:paraId="7DFE726A" w14:textId="77777777" w:rsidR="000D5F56" w:rsidRPr="00316821" w:rsidRDefault="000D5F56" w:rsidP="00AA1E69">
            <w:pPr>
              <w:pStyle w:val="Pamatteksts"/>
              <w:tabs>
                <w:tab w:val="left" w:pos="142"/>
                <w:tab w:val="left" w:pos="3555"/>
              </w:tabs>
              <w:spacing w:after="0"/>
              <w:ind w:right="43"/>
              <w:jc w:val="both"/>
            </w:pPr>
            <w:r w:rsidRPr="00316821">
              <w:t>12. Izsoles norises kārtība, apbūves tiesību līguma projekts.</w:t>
            </w:r>
          </w:p>
        </w:tc>
        <w:tc>
          <w:tcPr>
            <w:tcW w:w="6378" w:type="dxa"/>
          </w:tcPr>
          <w:p w14:paraId="25784093" w14:textId="77777777" w:rsidR="000D5F56" w:rsidRPr="00316821" w:rsidRDefault="000D5F56" w:rsidP="00AA1E69">
            <w:pPr>
              <w:pStyle w:val="Pamatteksts"/>
              <w:tabs>
                <w:tab w:val="left" w:pos="142"/>
                <w:tab w:val="left" w:pos="3555"/>
              </w:tabs>
              <w:spacing w:after="0"/>
              <w:ind w:right="43"/>
              <w:jc w:val="both"/>
            </w:pPr>
            <w:r w:rsidRPr="00316821">
              <w:t>Izsoles norises kārtība ir noteikta apbūves tiesības izsoles noteikumos. Ar Apbūves tiesības izsoles noteikumiem apbūves tiesības izsoles objektam, t.sk. ar Līguma par apbūves tiesības piešķiršanu projektu var iepazīties Jēkabpils novada pašvaldības tīmekļvietnē https://www.jekabpils.lv/lv/pasvaldiba/oficialiepazinojumi/nekustamais-ipasums/apbuves-tiesibu-izsole</w:t>
            </w:r>
          </w:p>
        </w:tc>
      </w:tr>
      <w:tr w:rsidR="000D5F56" w:rsidRPr="00B171DE" w14:paraId="75AF2205" w14:textId="77777777" w:rsidTr="00AA1E69">
        <w:tc>
          <w:tcPr>
            <w:tcW w:w="3369" w:type="dxa"/>
          </w:tcPr>
          <w:p w14:paraId="1329035C" w14:textId="77777777" w:rsidR="000D5F56" w:rsidRPr="00316821" w:rsidRDefault="000D5F56" w:rsidP="00AA1E69">
            <w:pPr>
              <w:pStyle w:val="Pamatteksts"/>
              <w:tabs>
                <w:tab w:val="left" w:pos="142"/>
                <w:tab w:val="left" w:pos="3555"/>
              </w:tabs>
              <w:spacing w:after="0"/>
              <w:ind w:right="43"/>
              <w:jc w:val="both"/>
            </w:pPr>
            <w:r w:rsidRPr="00316821">
              <w:t>13. Informācija par apbūves tiesības izsoles objektu un tā apskates vietu un laiku.</w:t>
            </w:r>
          </w:p>
        </w:tc>
        <w:tc>
          <w:tcPr>
            <w:tcW w:w="6378" w:type="dxa"/>
          </w:tcPr>
          <w:p w14:paraId="27729433" w14:textId="77777777" w:rsidR="000D5F56" w:rsidRPr="00316821" w:rsidRDefault="000D5F56" w:rsidP="00AA1E69">
            <w:pPr>
              <w:pStyle w:val="Pamatteksts"/>
              <w:tabs>
                <w:tab w:val="left" w:pos="142"/>
                <w:tab w:val="left" w:pos="3555"/>
              </w:tabs>
              <w:spacing w:after="0"/>
              <w:ind w:right="43"/>
              <w:jc w:val="both"/>
              <w:rPr>
                <w:color w:val="FF0000"/>
              </w:rPr>
            </w:pPr>
            <w:r w:rsidRPr="00316821">
              <w:t xml:space="preserve">Informācija par apbūves tiesības izsoles objektu un ar to var iepazīties iepriekš sazinoties ar </w:t>
            </w:r>
            <w:r w:rsidRPr="00316821">
              <w:rPr>
                <w:rFonts w:eastAsia="Calibri"/>
              </w:rPr>
              <w:t xml:space="preserve">Jēkabpils novada Attīstības pārvaldes Teritorijas plānošanas un īpašumu pārvaldīšanas nodaļas galveno nekustamā īpašuma speciālisti Vinetu </w:t>
            </w:r>
            <w:proofErr w:type="spellStart"/>
            <w:r w:rsidRPr="00316821">
              <w:rPr>
                <w:rFonts w:eastAsia="Calibri"/>
              </w:rPr>
              <w:t>Verečinsku</w:t>
            </w:r>
            <w:proofErr w:type="spellEnd"/>
            <w:r w:rsidRPr="00316821">
              <w:rPr>
                <w:rFonts w:eastAsia="Calibri"/>
              </w:rPr>
              <w:t>, tālrunis saziņai 26814985.</w:t>
            </w:r>
          </w:p>
          <w:p w14:paraId="71AC2FB5" w14:textId="77777777" w:rsidR="000D5F56" w:rsidRPr="00316821" w:rsidRDefault="000D5F56" w:rsidP="00AA1E69">
            <w:pPr>
              <w:pStyle w:val="Pamatteksts"/>
              <w:tabs>
                <w:tab w:val="left" w:pos="142"/>
                <w:tab w:val="left" w:pos="3555"/>
              </w:tabs>
              <w:spacing w:after="0"/>
              <w:ind w:right="43"/>
              <w:jc w:val="both"/>
            </w:pPr>
          </w:p>
        </w:tc>
      </w:tr>
    </w:tbl>
    <w:p w14:paraId="5AB90FFA" w14:textId="77777777" w:rsidR="000D5F56" w:rsidRPr="00316821" w:rsidRDefault="000D5F56" w:rsidP="000D5F56">
      <w:pPr>
        <w:pStyle w:val="Pamatteksts"/>
        <w:tabs>
          <w:tab w:val="left" w:pos="142"/>
          <w:tab w:val="left" w:pos="3555"/>
        </w:tabs>
        <w:spacing w:after="0"/>
        <w:ind w:right="43"/>
        <w:jc w:val="both"/>
      </w:pPr>
    </w:p>
    <w:p w14:paraId="08A6D4E6" w14:textId="77777777" w:rsidR="000D5F56" w:rsidRPr="008F2D5C" w:rsidRDefault="000D5F56" w:rsidP="000D5F56">
      <w:pPr>
        <w:pStyle w:val="xl23"/>
        <w:spacing w:before="0" w:after="0"/>
        <w:jc w:val="both"/>
        <w:rPr>
          <w:rFonts w:ascii="Times New Roman" w:hAnsi="Times New Roman" w:cs="Times New Roman"/>
          <w:lang w:val="lv-LV"/>
        </w:rPr>
      </w:pPr>
      <w:r w:rsidRPr="008F2D5C">
        <w:rPr>
          <w:rFonts w:ascii="Times New Roman" w:hAnsi="Times New Roman" w:cs="Times New Roman"/>
          <w:lang w:val="lv-LV"/>
        </w:rPr>
        <w:t>Sēdes vadītāja</w:t>
      </w:r>
    </w:p>
    <w:p w14:paraId="03421E53" w14:textId="77777777" w:rsidR="000D5F56" w:rsidRPr="00316821" w:rsidRDefault="000D5F56" w:rsidP="000D5F56">
      <w:pPr>
        <w:pStyle w:val="xl23"/>
        <w:tabs>
          <w:tab w:val="center" w:pos="5103"/>
          <w:tab w:val="right" w:pos="9356"/>
        </w:tabs>
        <w:spacing w:before="0" w:after="0"/>
        <w:jc w:val="both"/>
        <w:rPr>
          <w:rFonts w:ascii="Times New Roman" w:hAnsi="Times New Roman" w:cs="Times New Roman"/>
          <w:lang w:val="lv-LV"/>
        </w:rPr>
      </w:pPr>
      <w:r w:rsidRPr="008F2D5C">
        <w:rPr>
          <w:rFonts w:ascii="Times New Roman" w:hAnsi="Times New Roman" w:cs="Times New Roman"/>
          <w:lang w:val="lv-LV"/>
        </w:rPr>
        <w:t>Domes priekšsēdētāja vietniece izglītības un kultūras jautājumos</w:t>
      </w:r>
      <w:r w:rsidRPr="008F2D5C">
        <w:rPr>
          <w:rFonts w:ascii="Times New Roman" w:hAnsi="Times New Roman" w:cs="Times New Roman"/>
          <w:lang w:val="lv-LV"/>
        </w:rPr>
        <w:tab/>
      </w:r>
      <w:proofErr w:type="spellStart"/>
      <w:r w:rsidRPr="008F2D5C">
        <w:rPr>
          <w:rFonts w:ascii="Times New Roman" w:hAnsi="Times New Roman" w:cs="Times New Roman"/>
          <w:lang w:val="lv-LV"/>
        </w:rPr>
        <w:t>A.Vetere</w:t>
      </w:r>
      <w:proofErr w:type="spellEnd"/>
    </w:p>
    <w:p w14:paraId="1A92146C" w14:textId="77777777" w:rsidR="000D5F56" w:rsidRPr="00316821" w:rsidRDefault="000D5F56" w:rsidP="000D5F56">
      <w:pPr>
        <w:tabs>
          <w:tab w:val="right" w:pos="9356"/>
        </w:tabs>
        <w:rPr>
          <w:color w:val="FF0000"/>
          <w:lang w:val="lv-LV"/>
        </w:rPr>
      </w:pPr>
    </w:p>
    <w:p w14:paraId="71262489" w14:textId="77777777" w:rsidR="000D5F56" w:rsidRPr="00316821" w:rsidRDefault="000D5F56" w:rsidP="000D5F56">
      <w:pPr>
        <w:tabs>
          <w:tab w:val="right" w:pos="9356"/>
        </w:tabs>
        <w:rPr>
          <w:sz w:val="20"/>
          <w:szCs w:val="20"/>
          <w:lang w:val="lv-LV"/>
        </w:rPr>
      </w:pPr>
      <w:r w:rsidRPr="00316821">
        <w:rPr>
          <w:sz w:val="20"/>
          <w:szCs w:val="20"/>
          <w:lang w:val="lv-LV"/>
        </w:rPr>
        <w:t>Vineta Verečinska 26814985</w:t>
      </w:r>
    </w:p>
    <w:p w14:paraId="5F54A08A" w14:textId="77777777" w:rsidR="000D5F56" w:rsidRPr="00316821" w:rsidRDefault="000D5F56" w:rsidP="000D5F56">
      <w:pPr>
        <w:rPr>
          <w:color w:val="FF0000"/>
          <w:lang w:val="lv-LV"/>
        </w:rPr>
      </w:pPr>
    </w:p>
    <w:p w14:paraId="4C9FC93D" w14:textId="77777777" w:rsidR="000D5F56" w:rsidRPr="00316821" w:rsidRDefault="000D5F56" w:rsidP="000D5F56">
      <w:pPr>
        <w:ind w:firstLine="709"/>
        <w:jc w:val="center"/>
        <w:rPr>
          <w:lang w:val="lv-LV" w:eastAsia="lv-LV"/>
        </w:rPr>
      </w:pPr>
      <w:r w:rsidRPr="00316821">
        <w:rPr>
          <w:b/>
          <w:bCs/>
          <w:color w:val="A6A6A6"/>
          <w:lang w:val="lv-LV"/>
        </w:rPr>
        <w:t>DOKUMENTS PARAKSTĪTS AR DROŠU ELEKTRONISKO PARAKSTU UN SATUR LAIKA ZĪMOGU</w:t>
      </w:r>
    </w:p>
    <w:p w14:paraId="28F813B6" w14:textId="77777777" w:rsidR="000D5F56" w:rsidRPr="00316821" w:rsidRDefault="000D5F56" w:rsidP="000D5F56">
      <w:pPr>
        <w:rPr>
          <w:color w:val="FF0000"/>
          <w:lang w:val="lv-LV"/>
        </w:rPr>
      </w:pPr>
    </w:p>
    <w:p w14:paraId="2F161EC9"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56"/>
    <w:rsid w:val="000D5F56"/>
    <w:rsid w:val="00B54B0C"/>
    <w:rsid w:val="00C30250"/>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FD6A"/>
  <w15:chartTrackingRefBased/>
  <w15:docId w15:val="{168D072F-A8A9-47CA-B34F-3A3FBA25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5F56"/>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0D5F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0D5F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0D5F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0D5F5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v-LV"/>
      <w14:ligatures w14:val="standardContextual"/>
    </w:rPr>
  </w:style>
  <w:style w:type="paragraph" w:styleId="Virsraksts5">
    <w:name w:val="heading 5"/>
    <w:basedOn w:val="Parasts"/>
    <w:next w:val="Parasts"/>
    <w:link w:val="Virsraksts5Rakstz"/>
    <w:uiPriority w:val="9"/>
    <w:semiHidden/>
    <w:unhideWhenUsed/>
    <w:qFormat/>
    <w:rsid w:val="000D5F56"/>
    <w:pPr>
      <w:keepNext/>
      <w:keepLines/>
      <w:spacing w:before="80" w:after="40" w:line="278" w:lineRule="auto"/>
      <w:outlineLvl w:val="4"/>
    </w:pPr>
    <w:rPr>
      <w:rFonts w:asciiTheme="minorHAnsi" w:eastAsiaTheme="majorEastAsia" w:hAnsiTheme="minorHAnsi" w:cstheme="majorBidi"/>
      <w:color w:val="0F4761" w:themeColor="accent1" w:themeShade="BF"/>
      <w:kern w:val="2"/>
      <w:lang w:val="lv-LV"/>
      <w14:ligatures w14:val="standardContextual"/>
    </w:rPr>
  </w:style>
  <w:style w:type="paragraph" w:styleId="Virsraksts6">
    <w:name w:val="heading 6"/>
    <w:basedOn w:val="Parasts"/>
    <w:next w:val="Parasts"/>
    <w:link w:val="Virsraksts6Rakstz"/>
    <w:uiPriority w:val="9"/>
    <w:semiHidden/>
    <w:unhideWhenUsed/>
    <w:qFormat/>
    <w:rsid w:val="000D5F56"/>
    <w:pPr>
      <w:keepNext/>
      <w:keepLines/>
      <w:spacing w:before="40" w:line="278" w:lineRule="auto"/>
      <w:outlineLvl w:val="5"/>
    </w:pPr>
    <w:rPr>
      <w:rFonts w:asciiTheme="minorHAnsi" w:eastAsiaTheme="majorEastAsia" w:hAnsiTheme="minorHAnsi" w:cstheme="majorBidi"/>
      <w:i/>
      <w:iCs/>
      <w:color w:val="595959" w:themeColor="text1" w:themeTint="A6"/>
      <w:kern w:val="2"/>
      <w:lang w:val="lv-LV"/>
      <w14:ligatures w14:val="standardContextual"/>
    </w:rPr>
  </w:style>
  <w:style w:type="paragraph" w:styleId="Virsraksts7">
    <w:name w:val="heading 7"/>
    <w:basedOn w:val="Parasts"/>
    <w:next w:val="Parasts"/>
    <w:link w:val="Virsraksts7Rakstz"/>
    <w:uiPriority w:val="9"/>
    <w:semiHidden/>
    <w:unhideWhenUsed/>
    <w:qFormat/>
    <w:rsid w:val="000D5F56"/>
    <w:pPr>
      <w:keepNext/>
      <w:keepLines/>
      <w:spacing w:before="40" w:line="278" w:lineRule="auto"/>
      <w:outlineLvl w:val="6"/>
    </w:pPr>
    <w:rPr>
      <w:rFonts w:asciiTheme="minorHAnsi" w:eastAsiaTheme="majorEastAsia" w:hAnsiTheme="minorHAnsi" w:cstheme="majorBidi"/>
      <w:color w:val="595959" w:themeColor="text1" w:themeTint="A6"/>
      <w:kern w:val="2"/>
      <w:lang w:val="lv-LV"/>
      <w14:ligatures w14:val="standardContextual"/>
    </w:rPr>
  </w:style>
  <w:style w:type="paragraph" w:styleId="Virsraksts8">
    <w:name w:val="heading 8"/>
    <w:basedOn w:val="Parasts"/>
    <w:next w:val="Parasts"/>
    <w:link w:val="Virsraksts8Rakstz"/>
    <w:uiPriority w:val="9"/>
    <w:semiHidden/>
    <w:unhideWhenUsed/>
    <w:qFormat/>
    <w:rsid w:val="000D5F56"/>
    <w:pPr>
      <w:keepNext/>
      <w:keepLines/>
      <w:spacing w:line="278" w:lineRule="auto"/>
      <w:outlineLvl w:val="7"/>
    </w:pPr>
    <w:rPr>
      <w:rFonts w:asciiTheme="minorHAnsi" w:eastAsiaTheme="majorEastAsia" w:hAnsiTheme="minorHAnsi" w:cstheme="majorBidi"/>
      <w:i/>
      <w:iCs/>
      <w:color w:val="272727" w:themeColor="text1" w:themeTint="D8"/>
      <w:kern w:val="2"/>
      <w:lang w:val="lv-LV"/>
      <w14:ligatures w14:val="standardContextual"/>
    </w:rPr>
  </w:style>
  <w:style w:type="paragraph" w:styleId="Virsraksts9">
    <w:name w:val="heading 9"/>
    <w:basedOn w:val="Parasts"/>
    <w:next w:val="Parasts"/>
    <w:link w:val="Virsraksts9Rakstz"/>
    <w:uiPriority w:val="9"/>
    <w:semiHidden/>
    <w:unhideWhenUsed/>
    <w:qFormat/>
    <w:rsid w:val="000D5F56"/>
    <w:pPr>
      <w:keepNext/>
      <w:keepLines/>
      <w:spacing w:line="278" w:lineRule="auto"/>
      <w:outlineLvl w:val="8"/>
    </w:pPr>
    <w:rPr>
      <w:rFonts w:asciiTheme="minorHAnsi" w:eastAsiaTheme="majorEastAsia" w:hAnsiTheme="minorHAnsi" w:cstheme="majorBidi"/>
      <w:color w:val="272727" w:themeColor="text1" w:themeTint="D8"/>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5F5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D5F5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D5F5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D5F5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D5F5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D5F5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5F5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5F5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5F5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5F56"/>
    <w:pPr>
      <w:spacing w:after="80"/>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0D5F5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5F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0D5F5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5F56"/>
    <w:pPr>
      <w:spacing w:before="160" w:after="160" w:line="278" w:lineRule="auto"/>
      <w:jc w:val="center"/>
    </w:pPr>
    <w:rPr>
      <w:rFonts w:asciiTheme="minorHAnsi" w:eastAsiaTheme="minorHAnsi" w:hAnsiTheme="minorHAnsi" w:cstheme="minorBidi"/>
      <w:i/>
      <w:iCs/>
      <w:color w:val="404040" w:themeColor="text1" w:themeTint="BF"/>
      <w:kern w:val="2"/>
      <w:lang w:val="lv-LV"/>
      <w14:ligatures w14:val="standardContextual"/>
    </w:rPr>
  </w:style>
  <w:style w:type="character" w:customStyle="1" w:styleId="CittsRakstz">
    <w:name w:val="Citāts Rakstz."/>
    <w:basedOn w:val="Noklusjumarindkopasfonts"/>
    <w:link w:val="Citts"/>
    <w:uiPriority w:val="29"/>
    <w:rsid w:val="000D5F56"/>
    <w:rPr>
      <w:i/>
      <w:iCs/>
      <w:color w:val="404040" w:themeColor="text1" w:themeTint="BF"/>
    </w:rPr>
  </w:style>
  <w:style w:type="paragraph" w:styleId="Sarakstarindkopa">
    <w:name w:val="List Paragraph"/>
    <w:basedOn w:val="Parasts"/>
    <w:uiPriority w:val="34"/>
    <w:qFormat/>
    <w:rsid w:val="000D5F56"/>
    <w:pPr>
      <w:spacing w:after="160" w:line="278" w:lineRule="auto"/>
      <w:ind w:left="720"/>
      <w:contextualSpacing/>
    </w:pPr>
    <w:rPr>
      <w:rFonts w:asciiTheme="minorHAnsi" w:eastAsiaTheme="minorHAnsi" w:hAnsiTheme="minorHAnsi" w:cstheme="minorBidi"/>
      <w:kern w:val="2"/>
      <w:lang w:val="lv-LV"/>
      <w14:ligatures w14:val="standardContextual"/>
    </w:rPr>
  </w:style>
  <w:style w:type="character" w:styleId="Intensvsizclums">
    <w:name w:val="Intense Emphasis"/>
    <w:basedOn w:val="Noklusjumarindkopasfonts"/>
    <w:uiPriority w:val="21"/>
    <w:qFormat/>
    <w:rsid w:val="000D5F56"/>
    <w:rPr>
      <w:i/>
      <w:iCs/>
      <w:color w:val="0F4761" w:themeColor="accent1" w:themeShade="BF"/>
    </w:rPr>
  </w:style>
  <w:style w:type="paragraph" w:styleId="Intensvscitts">
    <w:name w:val="Intense Quote"/>
    <w:basedOn w:val="Parasts"/>
    <w:next w:val="Parasts"/>
    <w:link w:val="IntensvscittsRakstz"/>
    <w:uiPriority w:val="30"/>
    <w:qFormat/>
    <w:rsid w:val="000D5F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v-LV"/>
      <w14:ligatures w14:val="standardContextual"/>
    </w:rPr>
  </w:style>
  <w:style w:type="character" w:customStyle="1" w:styleId="IntensvscittsRakstz">
    <w:name w:val="Intensīvs citāts Rakstz."/>
    <w:basedOn w:val="Noklusjumarindkopasfonts"/>
    <w:link w:val="Intensvscitts"/>
    <w:uiPriority w:val="30"/>
    <w:rsid w:val="000D5F56"/>
    <w:rPr>
      <w:i/>
      <w:iCs/>
      <w:color w:val="0F4761" w:themeColor="accent1" w:themeShade="BF"/>
    </w:rPr>
  </w:style>
  <w:style w:type="character" w:styleId="Intensvaatsauce">
    <w:name w:val="Intense Reference"/>
    <w:basedOn w:val="Noklusjumarindkopasfonts"/>
    <w:uiPriority w:val="32"/>
    <w:qFormat/>
    <w:rsid w:val="000D5F56"/>
    <w:rPr>
      <w:b/>
      <w:bCs/>
      <w:smallCaps/>
      <w:color w:val="0F4761" w:themeColor="accent1" w:themeShade="BF"/>
      <w:spacing w:val="5"/>
    </w:rPr>
  </w:style>
  <w:style w:type="paragraph" w:styleId="Pamatteksts">
    <w:name w:val="Body Text"/>
    <w:basedOn w:val="Parasts"/>
    <w:link w:val="PamattekstsRakstz"/>
    <w:rsid w:val="000D5F56"/>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0D5F56"/>
    <w:rPr>
      <w:rFonts w:ascii="Times New Roman" w:eastAsia="Lucida Sans Unicode" w:hAnsi="Times New Roman" w:cs="Times New Roman"/>
      <w:kern w:val="0"/>
      <w14:ligatures w14:val="none"/>
    </w:rPr>
  </w:style>
  <w:style w:type="paragraph" w:customStyle="1" w:styleId="xl23">
    <w:name w:val="xl23"/>
    <w:basedOn w:val="Parasts"/>
    <w:rsid w:val="000D5F56"/>
    <w:pPr>
      <w:widowControl w:val="0"/>
      <w:suppressAutoHyphens/>
      <w:spacing w:before="280" w:after="280"/>
    </w:pPr>
    <w:rPr>
      <w:rFonts w:ascii="Arial" w:eastAsia="Lucida Sans Unicode"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5580</Words>
  <Characters>3182</Characters>
  <Application>Microsoft Office Word</Application>
  <DocSecurity>0</DocSecurity>
  <Lines>26</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2026-04-28T12:06:00Z</dcterms:created>
  <dcterms:modified xsi:type="dcterms:W3CDTF">2026-04-28T12:07:00Z</dcterms:modified>
</cp:coreProperties>
</file>