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10" w:rsidRDefault="006F591C">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IEPIRKUMA LĪGUMS</w:t>
      </w:r>
    </w:p>
    <w:p w:rsidR="006B4610" w:rsidRDefault="006F591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Apdrošinātāja līguma reģistrācijas Nr. ____</w:t>
      </w:r>
    </w:p>
    <w:p w:rsidR="006B4610" w:rsidRDefault="006F591C">
      <w:pPr>
        <w:spacing w:after="0" w:line="240" w:lineRule="auto"/>
        <w:jc w:val="center"/>
      </w:pPr>
      <w:r>
        <w:rPr>
          <w:rFonts w:ascii="Times New Roman" w:eastAsia="Times New Roman" w:hAnsi="Times New Roman"/>
          <w:b/>
          <w:i/>
          <w:sz w:val="24"/>
          <w:szCs w:val="24"/>
        </w:rPr>
        <w:t>(Identifikācijas Nr. JPP 2015/02)</w:t>
      </w:r>
    </w:p>
    <w:p w:rsidR="006B4610" w:rsidRDefault="006B4610">
      <w:pPr>
        <w:spacing w:after="0" w:line="240" w:lineRule="auto"/>
        <w:jc w:val="center"/>
        <w:rPr>
          <w:rFonts w:ascii="Times New Roman" w:eastAsia="Times New Roman" w:hAnsi="Times New Roman"/>
          <w:sz w:val="24"/>
          <w:szCs w:val="24"/>
        </w:rPr>
      </w:pPr>
    </w:p>
    <w:p w:rsidR="006B4610" w:rsidRDefault="006B4610">
      <w:pPr>
        <w:spacing w:after="0" w:line="240" w:lineRule="auto"/>
        <w:rPr>
          <w:rFonts w:ascii="Times New Roman" w:eastAsia="Times New Roman" w:hAnsi="Times New Roman"/>
          <w:sz w:val="24"/>
          <w:szCs w:val="24"/>
        </w:rPr>
      </w:pPr>
    </w:p>
    <w:p w:rsidR="006B4610" w:rsidRDefault="006F591C">
      <w:pPr>
        <w:spacing w:after="0" w:line="240" w:lineRule="auto"/>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Jēkabpilī, 2015.gada 12.februārī</w:t>
      </w:r>
    </w:p>
    <w:p w:rsidR="006B4610" w:rsidRDefault="006B4610">
      <w:pPr>
        <w:spacing w:after="0" w:line="240" w:lineRule="auto"/>
        <w:rPr>
          <w:rFonts w:ascii="Times New Roman" w:eastAsia="Times New Roman" w:hAnsi="Times New Roman"/>
          <w:sz w:val="24"/>
          <w:szCs w:val="24"/>
        </w:rPr>
      </w:pPr>
    </w:p>
    <w:p w:rsidR="006B4610" w:rsidRDefault="006F591C">
      <w:pPr>
        <w:spacing w:after="0" w:line="240" w:lineRule="auto"/>
        <w:jc w:val="both"/>
      </w:pPr>
      <w:bookmarkStart w:id="0" w:name="_Toc466089874"/>
      <w:r>
        <w:rPr>
          <w:rFonts w:ascii="Times New Roman" w:eastAsia="Times New Roman" w:hAnsi="Times New Roman"/>
          <w:b/>
          <w:sz w:val="24"/>
          <w:szCs w:val="24"/>
        </w:rPr>
        <w:t xml:space="preserve">Jēkabpils pilsētas pašvaldība, </w:t>
      </w:r>
      <w:r>
        <w:rPr>
          <w:rFonts w:ascii="Times New Roman" w:eastAsia="Times New Roman" w:hAnsi="Times New Roman"/>
          <w:sz w:val="24"/>
          <w:szCs w:val="24"/>
        </w:rPr>
        <w:t xml:space="preserve">tās domes priekšsēdētāja vietnieka sociālos jautājumos Jāņa Raščevska personā, kurš rīkojas saskaņā ar likumu „Par pašvaldībām” un Jēkabpils pilsētas pašvaldības nolikumu, turpmāk tekstā saukts – </w:t>
      </w:r>
      <w:r>
        <w:rPr>
          <w:rFonts w:ascii="Times New Roman" w:eastAsia="Times New Roman" w:hAnsi="Times New Roman"/>
          <w:b/>
          <w:sz w:val="24"/>
          <w:szCs w:val="24"/>
        </w:rPr>
        <w:t>APDROŠINĀJUMA ŅĒMĒJS (</w:t>
      </w:r>
      <w:r>
        <w:rPr>
          <w:rFonts w:ascii="Times New Roman" w:eastAsia="Times New Roman" w:hAnsi="Times New Roman"/>
          <w:sz w:val="24"/>
          <w:szCs w:val="24"/>
        </w:rPr>
        <w:t>arī</w:t>
      </w:r>
      <w:r>
        <w:rPr>
          <w:rFonts w:ascii="Times New Roman" w:eastAsia="Times New Roman" w:hAnsi="Times New Roman"/>
          <w:b/>
          <w:sz w:val="24"/>
          <w:szCs w:val="24"/>
        </w:rPr>
        <w:t xml:space="preserve"> MAKSĀTĀJS),</w:t>
      </w:r>
      <w:r>
        <w:rPr>
          <w:rFonts w:ascii="Times New Roman" w:eastAsia="Times New Roman" w:hAnsi="Times New Roman"/>
          <w:sz w:val="24"/>
          <w:szCs w:val="24"/>
        </w:rPr>
        <w:t xml:space="preserve"> no vienas puses, un </w:t>
      </w:r>
    </w:p>
    <w:p w:rsidR="006B4610" w:rsidRDefault="006F591C">
      <w:pPr>
        <w:spacing w:after="0" w:line="240" w:lineRule="auto"/>
        <w:jc w:val="both"/>
      </w:pPr>
      <w:r>
        <w:rPr>
          <w:rFonts w:ascii="Times New Roman" w:eastAsia="Times New Roman" w:hAnsi="Times New Roman"/>
          <w:b/>
          <w:bCs/>
          <w:sz w:val="24"/>
          <w:szCs w:val="24"/>
        </w:rPr>
        <w:t>Apdrošināšanas akciju sabiedrība „Gjensidige Baltic”</w:t>
      </w:r>
      <w:r>
        <w:rPr>
          <w:rFonts w:ascii="Times New Roman" w:eastAsia="Times New Roman" w:hAnsi="Times New Roman"/>
          <w:b/>
          <w:sz w:val="24"/>
          <w:szCs w:val="24"/>
        </w:rPr>
        <w:t>,</w:t>
      </w:r>
      <w:r>
        <w:rPr>
          <w:rFonts w:ascii="Times New Roman" w:eastAsia="Times New Roman" w:hAnsi="Times New Roman"/>
          <w:sz w:val="24"/>
          <w:szCs w:val="24"/>
        </w:rPr>
        <w:t xml:space="preserve"> tās Jēkabpils filiāles vadītājas Anitas Krūmiņas personā, kura rīkojas saskaņā ar pilnvaru, turpmāk tekstā saukts –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no otras puses, katrs atsevišķi un abi kopā šī Līguma tekstā turpmāk saukti – Puse/-es vai Līgumslēdzēji, pamatojoties uz publiskā iepirkuma </w:t>
      </w:r>
      <w:r>
        <w:rPr>
          <w:rFonts w:ascii="Times New Roman" w:eastAsia="Times New Roman" w:hAnsi="Times New Roman"/>
          <w:i/>
          <w:sz w:val="24"/>
          <w:szCs w:val="24"/>
        </w:rPr>
        <w:t xml:space="preserve">„Jēkabpils pilsētas pašvaldības un tās iestāžu autotransporta OCTA un KASKO apdrošināšana” (Identifikācijas Nr. JPP 2015/02) </w:t>
      </w:r>
      <w:r>
        <w:rPr>
          <w:rFonts w:ascii="Times New Roman" w:eastAsia="Times New Roman" w:hAnsi="Times New Roman"/>
          <w:sz w:val="24"/>
          <w:szCs w:val="24"/>
        </w:rPr>
        <w:t xml:space="preserve">rezultātiem un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iesniegto piedāvājumu, noslēdza šo Līgumu, turpmāk tekstā saukts – Līgums, par sekojošo:</w:t>
      </w:r>
    </w:p>
    <w:p w:rsidR="006B4610" w:rsidRDefault="006B4610">
      <w:pPr>
        <w:keepNext/>
        <w:spacing w:after="0" w:line="240" w:lineRule="auto"/>
        <w:jc w:val="center"/>
        <w:rPr>
          <w:rFonts w:ascii="Times New Roman" w:eastAsia="Times New Roman" w:hAnsi="Times New Roman" w:cs="Arial"/>
          <w:b/>
          <w:sz w:val="24"/>
          <w:szCs w:val="24"/>
        </w:rPr>
      </w:pPr>
    </w:p>
    <w:p w:rsidR="006B4610" w:rsidRDefault="006F591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 LĪGUMA PRIEKŠMETS</w:t>
      </w:r>
    </w:p>
    <w:p w:rsidR="006B4610" w:rsidRDefault="006F591C">
      <w:pPr>
        <w:numPr>
          <w:ilvl w:val="1"/>
          <w:numId w:val="2"/>
        </w:numPr>
        <w:spacing w:after="0" w:line="240" w:lineRule="auto"/>
        <w:jc w:val="both"/>
      </w:pPr>
      <w:r>
        <w:rPr>
          <w:rFonts w:ascii="Times New Roman" w:eastAsia="Times New Roman" w:hAnsi="Times New Roman"/>
          <w:sz w:val="24"/>
          <w:szCs w:val="24"/>
        </w:rPr>
        <w:t xml:space="preserve">Autotransporta apdrošināšanas pakalpojumi tiek sniegti sekojošām iestādēm </w:t>
      </w:r>
      <w:r>
        <w:rPr>
          <w:rFonts w:ascii="Times New Roman" w:eastAsia="Times New Roman" w:hAnsi="Times New Roman"/>
          <w:b/>
          <w:sz w:val="24"/>
          <w:szCs w:val="24"/>
        </w:rPr>
        <w:t>(</w:t>
      </w:r>
      <w:r>
        <w:rPr>
          <w:rFonts w:ascii="Times New Roman" w:eastAsia="Times New Roman" w:hAnsi="Times New Roman"/>
          <w:sz w:val="24"/>
          <w:szCs w:val="24"/>
        </w:rPr>
        <w:t xml:space="preserve">arī </w:t>
      </w:r>
      <w:r>
        <w:rPr>
          <w:rFonts w:ascii="Times New Roman" w:eastAsia="Times New Roman" w:hAnsi="Times New Roman"/>
          <w:b/>
          <w:sz w:val="24"/>
          <w:szCs w:val="24"/>
        </w:rPr>
        <w:t xml:space="preserve">APDROŠINĀJUMA ŅĒMĒJS </w:t>
      </w:r>
      <w:r>
        <w:rPr>
          <w:rFonts w:ascii="Times New Roman" w:eastAsia="Times New Roman" w:hAnsi="Times New Roman"/>
          <w:sz w:val="24"/>
          <w:szCs w:val="24"/>
        </w:rPr>
        <w:t>šī Līguma izpratnē</w:t>
      </w:r>
      <w:r>
        <w:rPr>
          <w:rFonts w:ascii="Times New Roman" w:eastAsia="Times New Roman" w:hAnsi="Times New Roman"/>
          <w:b/>
          <w:sz w:val="24"/>
          <w:szCs w:val="24"/>
        </w:rPr>
        <w:t>)</w:t>
      </w:r>
      <w:r>
        <w:rPr>
          <w:rFonts w:ascii="Times New Roman" w:eastAsia="Times New Roman" w:hAnsi="Times New Roman"/>
          <w:sz w:val="24"/>
          <w:szCs w:val="24"/>
        </w:rPr>
        <w:t>:</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1. Jēkabpils pilsētas pašvaldība – Brīvības iela 120,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2. Jēkabpils Sociālais dienests – Brīvības iela 45,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3. Kultūras pārvalde – Rīgas iela 210A,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4. Jēkabpils Valsts ģimnāzija – R.Blaumaņa iela 27,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5. Jēkabpils 2.vidusskola – Jaunā iela 44,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6. Jēkabpils 3.vidusskola – Slimnīcas iela 5,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7. Jēkabpils pamatskola – Rīgas iela 200A,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8. Jēkabpils vakara vidusskola - Palejas iela 32,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9. PA „Jēkabpils Vēstures muzejs”- Rīgas iela 216B,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10. Jēkabpils sporta skola – A.Pormaļa iela 106, Jēkabpils;</w:t>
      </w:r>
    </w:p>
    <w:p w:rsidR="006B4610" w:rsidRDefault="006F591C">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11. Jēkabpils sporta centrs – A.Pormaļa iela 106, Jēkabpils.</w:t>
      </w:r>
    </w:p>
    <w:p w:rsidR="006B4610" w:rsidRDefault="006F591C">
      <w:pPr>
        <w:numPr>
          <w:ilvl w:val="1"/>
          <w:numId w:val="1"/>
        </w:numPr>
        <w:spacing w:after="0" w:line="240" w:lineRule="auto"/>
        <w:jc w:val="both"/>
      </w:pPr>
      <w:r>
        <w:rPr>
          <w:rFonts w:ascii="Times New Roman" w:eastAsia="Times New Roman" w:hAnsi="Times New Roman"/>
          <w:b/>
          <w:sz w:val="24"/>
          <w:szCs w:val="24"/>
        </w:rPr>
        <w:t>APDROŠINĀTĀJS</w:t>
      </w:r>
      <w:r>
        <w:rPr>
          <w:rFonts w:ascii="Times New Roman" w:eastAsia="Times New Roman" w:hAnsi="Times New Roman"/>
          <w:sz w:val="24"/>
          <w:szCs w:val="24"/>
        </w:rPr>
        <w:t xml:space="preserve"> veic </w:t>
      </w:r>
      <w:r>
        <w:rPr>
          <w:rFonts w:ascii="Times New Roman" w:eastAsia="Times New Roman" w:hAnsi="Times New Roman"/>
          <w:b/>
          <w:sz w:val="24"/>
          <w:szCs w:val="24"/>
        </w:rPr>
        <w:t>APDROŠINĀJUMA ŅĒMĒJAM</w:t>
      </w:r>
      <w:r>
        <w:rPr>
          <w:rFonts w:ascii="Times New Roman" w:eastAsia="Times New Roman" w:hAnsi="Times New Roman"/>
          <w:sz w:val="24"/>
          <w:szCs w:val="24"/>
        </w:rPr>
        <w:t xml:space="preserve"> piederošo transportlīdzekļu OCTA un KASKO apdrošināšanu saskaņā ar publiskā iepirkuma (Id.Nr. JPP 2015/02) nolikumā noteiktajām prasībām,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Finanšu piedāvājumu (1.pielikums), transportlīdzekļu OCTA un KASKO apdrošināšanas sarakstiem (2.pielikums un 3.pielikums), Tehnisko specifikāciju (4.pielikums) un apdrošināšanas polisēm, pēc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pieprasījuma. </w:t>
      </w:r>
    </w:p>
    <w:p w:rsidR="006B4610" w:rsidRDefault="006F591C">
      <w:pPr>
        <w:numPr>
          <w:ilvl w:val="1"/>
          <w:numId w:val="1"/>
        </w:numPr>
        <w:spacing w:after="0" w:line="240" w:lineRule="auto"/>
        <w:jc w:val="both"/>
      </w:pPr>
      <w:r>
        <w:rPr>
          <w:rFonts w:ascii="Times New Roman" w:eastAsia="Times New Roman" w:hAnsi="Times New Roman"/>
          <w:b/>
          <w:sz w:val="24"/>
          <w:szCs w:val="24"/>
        </w:rPr>
        <w:t xml:space="preserve">APDROŠINĀJUMA ŅĒMĒJA </w:t>
      </w:r>
      <w:r>
        <w:rPr>
          <w:rFonts w:ascii="Times New Roman" w:eastAsia="Times New Roman" w:hAnsi="Times New Roman"/>
          <w:sz w:val="24"/>
          <w:szCs w:val="24"/>
        </w:rPr>
        <w:t xml:space="preserve">transportlīdzekļu OCTA un KASKO apdrošināšanas sarakstā minēto transportlīdzekļu skaits (2., 3.pielikumi) Līguma darbības laikā var mainīties (gan samazināties, gan palielināties). </w:t>
      </w:r>
    </w:p>
    <w:p w:rsidR="006B4610" w:rsidRDefault="006F591C">
      <w:pPr>
        <w:numPr>
          <w:ilvl w:val="1"/>
          <w:numId w:val="1"/>
        </w:numPr>
        <w:spacing w:after="0" w:line="240" w:lineRule="auto"/>
        <w:jc w:val="both"/>
      </w:pP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piederošo transportlīdzekļu KASKO apdrošināšanā tiek piemēroti</w:t>
      </w:r>
      <w:r>
        <w:rPr>
          <w:rFonts w:ascii="Times New Roman" w:eastAsia="Times New Roman" w:hAnsi="Times New Roman"/>
          <w:b/>
          <w:sz w:val="24"/>
          <w:szCs w:val="24"/>
        </w:rPr>
        <w:t xml:space="preserve"> APDROŠINĀTĀJA </w:t>
      </w:r>
      <w:r>
        <w:rPr>
          <w:rFonts w:ascii="Times New Roman" w:eastAsia="Times New Roman" w:hAnsi="Times New Roman"/>
          <w:sz w:val="24"/>
          <w:szCs w:val="24"/>
        </w:rPr>
        <w:t>Sauszemes transporta apdrošināšanas noteikumi Nr.4.7.</w:t>
      </w:r>
    </w:p>
    <w:p w:rsidR="006B4610" w:rsidRDefault="006F591C">
      <w:pPr>
        <w:numPr>
          <w:ilvl w:val="1"/>
          <w:numId w:val="1"/>
        </w:numPr>
        <w:spacing w:after="0" w:line="240" w:lineRule="auto"/>
        <w:jc w:val="both"/>
      </w:pP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piederošo transportlīdzekļu sauszemes transportlīdzekļu īpašnieku obligātās civiltiesiskās atbildības (OCTA) apdrošināšana notiek saskaņā ar „Sauszemes transportlīdzekļu īpašnieku civiltiesiskās atbildības obligātās apdrošināšanas likumu”. </w:t>
      </w:r>
    </w:p>
    <w:p w:rsidR="006B4610" w:rsidRDefault="006F591C">
      <w:pPr>
        <w:pStyle w:val="ListParagraph"/>
        <w:numPr>
          <w:ilvl w:val="0"/>
          <w:numId w:val="1"/>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LĪGUMA IZPILDES TERMIŅŠ UN APDROŠINĀŠANAS PERIODS</w:t>
      </w:r>
    </w:p>
    <w:p w:rsidR="006B4610" w:rsidRDefault="006F591C">
      <w:pPr>
        <w:pStyle w:val="ListParagraph"/>
        <w:numPr>
          <w:ilvl w:val="1"/>
          <w:numId w:val="4"/>
        </w:numPr>
        <w:spacing w:after="0" w:line="240" w:lineRule="auto"/>
        <w:jc w:val="both"/>
      </w:pPr>
      <w:r>
        <w:rPr>
          <w:rFonts w:ascii="Times New Roman" w:eastAsia="Times New Roman" w:hAnsi="Times New Roman"/>
          <w:sz w:val="24"/>
          <w:szCs w:val="24"/>
        </w:rPr>
        <w:t>Līgums stājas spēkā ar 2015.gada 25.februāri un ir spēkā 24 (divdesmit četrus) mēnešus, t.i., līdz 2017.gada 24.februārim (ieskaitot).</w:t>
      </w:r>
    </w:p>
    <w:p w:rsidR="006B4610" w:rsidRDefault="006F591C">
      <w:pPr>
        <w:numPr>
          <w:ilvl w:val="1"/>
          <w:numId w:val="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Apdrošināšanas periods ir 12 (divpadsmit) mēneši no apdrošināšanas polises spēkā stāšanās. </w:t>
      </w:r>
    </w:p>
    <w:p w:rsidR="006B4610" w:rsidRDefault="006F591C">
      <w:pPr>
        <w:numPr>
          <w:ilvl w:val="1"/>
          <w:numId w:val="3"/>
        </w:numPr>
        <w:spacing w:after="0" w:line="240" w:lineRule="auto"/>
        <w:jc w:val="both"/>
      </w:pP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piederošo transportlīdzekļu OCTA un KASKO līgumu/polišu darbības termiņš ir 12 (divpadsmit) mēneši no dienas pēc apdrošināšanas iepriekšējās polises beigu termiņa datuma.</w:t>
      </w:r>
    </w:p>
    <w:p w:rsidR="006B4610" w:rsidRDefault="006F591C">
      <w:pPr>
        <w:numPr>
          <w:ilvl w:val="1"/>
          <w:numId w:val="3"/>
        </w:numPr>
        <w:spacing w:after="0" w:line="240" w:lineRule="auto"/>
        <w:jc w:val="both"/>
      </w:pPr>
      <w:r>
        <w:rPr>
          <w:rFonts w:ascii="Times New Roman" w:eastAsia="Times New Roman" w:hAnsi="Times New Roman"/>
          <w:b/>
          <w:sz w:val="24"/>
          <w:szCs w:val="24"/>
        </w:rPr>
        <w:t>APDROŠINĀJUMA ŅĒMĒJS</w:t>
      </w:r>
      <w:r>
        <w:rPr>
          <w:rFonts w:ascii="Times New Roman" w:eastAsia="Times New Roman" w:hAnsi="Times New Roman"/>
          <w:sz w:val="24"/>
          <w:szCs w:val="24"/>
        </w:rPr>
        <w:t xml:space="preserve"> patur tiesības apdrošināt transportlīdzekli uz termiņu mazāku par 12 (divpadsmit) mēnešiem.</w:t>
      </w:r>
    </w:p>
    <w:p w:rsidR="006B4610" w:rsidRDefault="006F591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 APDROŠINĀŠANAS PRĒMIJA UN NORĒĶINU KĀRTĪBA</w:t>
      </w:r>
    </w:p>
    <w:p w:rsidR="006B4610" w:rsidRDefault="006F591C">
      <w:pPr>
        <w:numPr>
          <w:ilvl w:val="1"/>
          <w:numId w:val="6"/>
        </w:numPr>
        <w:spacing w:after="0" w:line="240" w:lineRule="auto"/>
        <w:jc w:val="both"/>
      </w:pPr>
      <w:r>
        <w:rPr>
          <w:rFonts w:ascii="Times New Roman" w:eastAsia="Times New Roman" w:hAnsi="Times New Roman"/>
          <w:sz w:val="24"/>
          <w:szCs w:val="24"/>
        </w:rPr>
        <w:t>Apdrošināšanas prēmija KASKO un OCTA apdrošināšanai Līguma darbības laikā ir noteikta 1.pielikumā.</w:t>
      </w:r>
    </w:p>
    <w:p w:rsidR="006B4610" w:rsidRDefault="006F591C">
      <w:pPr>
        <w:numPr>
          <w:ilvl w:val="1"/>
          <w:numId w:val="5"/>
        </w:numPr>
        <w:spacing w:after="0" w:line="240" w:lineRule="auto"/>
        <w:jc w:val="both"/>
      </w:pPr>
      <w:r>
        <w:rPr>
          <w:rFonts w:ascii="Times New Roman" w:eastAsia="Times New Roman" w:hAnsi="Times New Roman"/>
          <w:sz w:val="24"/>
          <w:szCs w:val="24"/>
        </w:rPr>
        <w:t xml:space="preserve">Puses vienojas, ka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rēķinu par apdrošināšanas prēmiju izraksta un piestāda katrai Līguma 2.pielikuma sarakstos minētai iestādei, saskaņā ar šī Līguma noteikumiem. Rēķinā jānorāda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iestādes nosaukums un adrese. Rēķinu apmaksu veic Jēkabpils pilsētas pašvaldība (turpmāk tekstā – </w:t>
      </w:r>
      <w:r>
        <w:rPr>
          <w:rFonts w:ascii="Times New Roman" w:eastAsia="Times New Roman" w:hAnsi="Times New Roman"/>
          <w:b/>
          <w:sz w:val="24"/>
          <w:szCs w:val="24"/>
        </w:rPr>
        <w:t>MAKSĀTĀJS</w:t>
      </w:r>
      <w:r>
        <w:rPr>
          <w:rFonts w:ascii="Times New Roman" w:eastAsia="Times New Roman" w:hAnsi="Times New Roman"/>
          <w:sz w:val="24"/>
          <w:szCs w:val="24"/>
        </w:rPr>
        <w:t>).</w:t>
      </w:r>
    </w:p>
    <w:p w:rsidR="006B4610" w:rsidRDefault="006F591C">
      <w:pPr>
        <w:numPr>
          <w:ilvl w:val="1"/>
          <w:numId w:val="5"/>
        </w:numPr>
        <w:spacing w:after="0" w:line="240" w:lineRule="auto"/>
        <w:jc w:val="both"/>
      </w:pPr>
      <w:r>
        <w:rPr>
          <w:rFonts w:ascii="Times New Roman" w:eastAsia="Times New Roman" w:hAnsi="Times New Roman"/>
          <w:b/>
          <w:sz w:val="24"/>
          <w:szCs w:val="24"/>
        </w:rPr>
        <w:t xml:space="preserve">MAKSĀTĀJA </w:t>
      </w:r>
      <w:r>
        <w:rPr>
          <w:rFonts w:ascii="Times New Roman" w:eastAsia="Times New Roman" w:hAnsi="Times New Roman"/>
          <w:sz w:val="24"/>
          <w:szCs w:val="24"/>
        </w:rPr>
        <w:t xml:space="preserve">rekvizīti jānorāda: </w:t>
      </w:r>
      <w:r>
        <w:rPr>
          <w:rFonts w:ascii="Times New Roman" w:eastAsia="Times New Roman" w:hAnsi="Times New Roman"/>
          <w:i/>
          <w:sz w:val="24"/>
          <w:szCs w:val="24"/>
        </w:rPr>
        <w:t xml:space="preserve">Nosaukums – </w:t>
      </w:r>
      <w:r>
        <w:rPr>
          <w:rFonts w:ascii="Times New Roman" w:eastAsia="Times New Roman" w:hAnsi="Times New Roman"/>
          <w:sz w:val="24"/>
          <w:szCs w:val="24"/>
        </w:rPr>
        <w:t xml:space="preserve">Jēkabpils pilsētas pašvaldība; </w:t>
      </w:r>
      <w:r>
        <w:rPr>
          <w:rFonts w:ascii="Times New Roman" w:eastAsia="Times New Roman" w:hAnsi="Times New Roman"/>
          <w:i/>
          <w:sz w:val="24"/>
          <w:szCs w:val="24"/>
        </w:rPr>
        <w:t>Reģ.Nr.</w:t>
      </w:r>
      <w:r>
        <w:rPr>
          <w:rFonts w:ascii="Times New Roman" w:eastAsia="Times New Roman" w:hAnsi="Times New Roman"/>
          <w:b/>
          <w:sz w:val="24"/>
          <w:szCs w:val="24"/>
        </w:rPr>
        <w:t xml:space="preserve"> – </w:t>
      </w:r>
      <w:r>
        <w:rPr>
          <w:rFonts w:ascii="Times New Roman" w:eastAsia="Times New Roman" w:hAnsi="Times New Roman"/>
          <w:sz w:val="24"/>
          <w:szCs w:val="24"/>
        </w:rPr>
        <w:t xml:space="preserve">90000024205; </w:t>
      </w:r>
      <w:r>
        <w:rPr>
          <w:rFonts w:ascii="Times New Roman" w:eastAsia="Times New Roman" w:hAnsi="Times New Roman"/>
          <w:i/>
          <w:sz w:val="24"/>
          <w:szCs w:val="24"/>
        </w:rPr>
        <w:t>PVN Reģ.Nr. -</w:t>
      </w:r>
      <w:r>
        <w:rPr>
          <w:rFonts w:ascii="Times New Roman" w:eastAsia="Times New Roman" w:hAnsi="Times New Roman"/>
          <w:sz w:val="24"/>
          <w:szCs w:val="24"/>
        </w:rPr>
        <w:t xml:space="preserve"> LV90000024205; </w:t>
      </w:r>
      <w:r>
        <w:rPr>
          <w:rFonts w:ascii="Times New Roman" w:eastAsia="Times New Roman" w:hAnsi="Times New Roman"/>
          <w:i/>
          <w:sz w:val="24"/>
          <w:szCs w:val="24"/>
        </w:rPr>
        <w:t xml:space="preserve">konta Nr. – </w:t>
      </w:r>
      <w:r>
        <w:rPr>
          <w:rFonts w:ascii="Times New Roman" w:eastAsia="Times New Roman" w:hAnsi="Times New Roman"/>
          <w:sz w:val="24"/>
          <w:szCs w:val="24"/>
        </w:rPr>
        <w:t>LV87UNLA0009013130793, UNLALV2XXXX, AS SEB BANKA.</w:t>
      </w:r>
      <w:r>
        <w:rPr>
          <w:rFonts w:ascii="Times New Roman" w:eastAsia="Times New Roman" w:hAnsi="Times New Roman"/>
          <w:b/>
          <w:sz w:val="24"/>
          <w:szCs w:val="24"/>
        </w:rPr>
        <w:t xml:space="preserve"> </w:t>
      </w:r>
    </w:p>
    <w:p w:rsidR="006B4610" w:rsidRDefault="006F591C">
      <w:pPr>
        <w:numPr>
          <w:ilvl w:val="1"/>
          <w:numId w:val="5"/>
        </w:numPr>
        <w:spacing w:after="0" w:line="240" w:lineRule="auto"/>
        <w:jc w:val="both"/>
      </w:pPr>
      <w:r>
        <w:rPr>
          <w:rFonts w:ascii="Times New Roman" w:eastAsia="Times New Roman" w:hAnsi="Times New Roman"/>
          <w:b/>
          <w:sz w:val="24"/>
          <w:szCs w:val="24"/>
        </w:rPr>
        <w:t xml:space="preserve">MAKSĀTĀJS </w:t>
      </w:r>
      <w:r>
        <w:rPr>
          <w:rFonts w:ascii="Times New Roman" w:eastAsia="Times New Roman" w:hAnsi="Times New Roman"/>
          <w:sz w:val="24"/>
          <w:szCs w:val="24"/>
        </w:rPr>
        <w:t>veic apdrošināšanas prēmiju samaksu 10 (desmit) darba dienu laikā pēc</w:t>
      </w:r>
      <w:r>
        <w:rPr>
          <w:rFonts w:ascii="Times New Roman" w:eastAsia="Times New Roman" w:hAnsi="Times New Roman"/>
          <w:b/>
          <w:sz w:val="24"/>
          <w:szCs w:val="24"/>
        </w:rPr>
        <w:t xml:space="preserve"> </w:t>
      </w:r>
      <w:r>
        <w:rPr>
          <w:rFonts w:ascii="Times New Roman" w:eastAsia="Times New Roman" w:hAnsi="Times New Roman"/>
          <w:sz w:val="24"/>
          <w:szCs w:val="24"/>
        </w:rPr>
        <w:t>apdrošināšanas polises spēkā stāšanās datuma un</w:t>
      </w:r>
      <w:r>
        <w:rPr>
          <w:rFonts w:ascii="Times New Roman" w:eastAsia="Times New Roman" w:hAnsi="Times New Roman"/>
          <w:b/>
          <w:sz w:val="24"/>
          <w:szCs w:val="24"/>
        </w:rPr>
        <w:t xml:space="preserve"> APDROŠINĀTĀJA </w:t>
      </w:r>
      <w:r>
        <w:rPr>
          <w:rFonts w:ascii="Times New Roman" w:eastAsia="Times New Roman" w:hAnsi="Times New Roman"/>
          <w:sz w:val="24"/>
          <w:szCs w:val="24"/>
        </w:rPr>
        <w:t xml:space="preserve">rēķina saņemšanas dienas. </w:t>
      </w:r>
    </w:p>
    <w:p w:rsidR="006B4610" w:rsidRDefault="006F591C">
      <w:pPr>
        <w:numPr>
          <w:ilvl w:val="1"/>
          <w:numId w:val="5"/>
        </w:numPr>
        <w:spacing w:after="0" w:line="240" w:lineRule="auto"/>
        <w:jc w:val="both"/>
      </w:pPr>
      <w:r>
        <w:rPr>
          <w:rFonts w:ascii="Times New Roman" w:eastAsia="Times New Roman" w:hAnsi="Times New Roman"/>
          <w:b/>
          <w:sz w:val="24"/>
          <w:szCs w:val="24"/>
        </w:rPr>
        <w:t xml:space="preserve">MAKSĀTĀJS </w:t>
      </w:r>
      <w:r>
        <w:rPr>
          <w:rFonts w:ascii="Times New Roman" w:eastAsia="Times New Roman" w:hAnsi="Times New Roman"/>
          <w:sz w:val="24"/>
          <w:szCs w:val="24"/>
        </w:rPr>
        <w:t xml:space="preserve">samaksā </w:t>
      </w:r>
      <w:r>
        <w:rPr>
          <w:rFonts w:ascii="Times New Roman" w:eastAsia="Times New Roman" w:hAnsi="Times New Roman"/>
          <w:b/>
          <w:sz w:val="24"/>
          <w:szCs w:val="24"/>
        </w:rPr>
        <w:t>APDROŠINĀTĀJAM</w:t>
      </w:r>
      <w:r>
        <w:rPr>
          <w:rFonts w:ascii="Times New Roman" w:eastAsia="Times New Roman" w:hAnsi="Times New Roman"/>
          <w:sz w:val="24"/>
          <w:szCs w:val="24"/>
        </w:rPr>
        <w:t xml:space="preserve"> papildus apdrošināšanas prēmiju 4.1.punktā minētajos gadījumos 10 (desmit) darba dienu laikā pēc atbilstošas apdrošināšanas polises spēkā stāšanās datuma un </w:t>
      </w:r>
      <w:r>
        <w:rPr>
          <w:rFonts w:ascii="Times New Roman" w:eastAsia="Times New Roman" w:hAnsi="Times New Roman"/>
          <w:b/>
          <w:sz w:val="24"/>
          <w:szCs w:val="24"/>
        </w:rPr>
        <w:t xml:space="preserve">APDROŠINĀTĀJA </w:t>
      </w:r>
      <w:r>
        <w:rPr>
          <w:rFonts w:ascii="Times New Roman" w:eastAsia="Times New Roman" w:hAnsi="Times New Roman"/>
          <w:sz w:val="24"/>
          <w:szCs w:val="24"/>
        </w:rPr>
        <w:t xml:space="preserve">rēķina saņemšanas dienas. </w:t>
      </w:r>
    </w:p>
    <w:p w:rsidR="006B4610" w:rsidRDefault="006F591C">
      <w:pPr>
        <w:numPr>
          <w:ilvl w:val="1"/>
          <w:numId w:val="5"/>
        </w:numPr>
        <w:spacing w:after="0" w:line="240" w:lineRule="auto"/>
        <w:jc w:val="both"/>
      </w:pPr>
      <w:r>
        <w:rPr>
          <w:rFonts w:ascii="Times New Roman" w:eastAsia="Times New Roman" w:hAnsi="Times New Roman"/>
          <w:b/>
          <w:sz w:val="24"/>
          <w:szCs w:val="24"/>
        </w:rPr>
        <w:t xml:space="preserve">APDROŠINĀTĀJS </w:t>
      </w:r>
      <w:r>
        <w:rPr>
          <w:rFonts w:ascii="Times New Roman" w:eastAsia="Times New Roman" w:hAnsi="Times New Roman"/>
          <w:sz w:val="24"/>
          <w:szCs w:val="24"/>
        </w:rPr>
        <w:t>atmaksā</w:t>
      </w:r>
      <w:r>
        <w:rPr>
          <w:rFonts w:ascii="Times New Roman" w:eastAsia="Times New Roman" w:hAnsi="Times New Roman"/>
          <w:b/>
          <w:sz w:val="24"/>
          <w:szCs w:val="24"/>
        </w:rPr>
        <w:t xml:space="preserve"> MAKSĀTĀJAM </w:t>
      </w:r>
      <w:r>
        <w:rPr>
          <w:rFonts w:ascii="Times New Roman" w:eastAsia="Times New Roman" w:hAnsi="Times New Roman"/>
          <w:sz w:val="24"/>
          <w:szCs w:val="24"/>
        </w:rPr>
        <w:t xml:space="preserve">visu atlikušo apdrošināšanas prēmijas daļu 4.2. un 4.3. punktā minētajos gadījumos, 10 (desmit) darba dienu laikā pēc atbilstošas papildu vienošanās spēkā stāšanās brīža. </w:t>
      </w:r>
    </w:p>
    <w:p w:rsidR="006B4610" w:rsidRDefault="006F591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 LĪGUMA IZPILDES KĀRTĪBA</w:t>
      </w:r>
    </w:p>
    <w:p w:rsidR="006B4610" w:rsidRDefault="006F591C">
      <w:pPr>
        <w:numPr>
          <w:ilvl w:val="1"/>
          <w:numId w:val="8"/>
        </w:numPr>
        <w:spacing w:after="0" w:line="240" w:lineRule="auto"/>
        <w:jc w:val="both"/>
      </w:pPr>
      <w:r>
        <w:rPr>
          <w:rFonts w:ascii="Times New Roman" w:eastAsia="Times New Roman" w:hAnsi="Times New Roman"/>
          <w:sz w:val="24"/>
          <w:szCs w:val="24"/>
        </w:rPr>
        <w:t xml:space="preserve">Ja </w:t>
      </w:r>
      <w:r>
        <w:rPr>
          <w:rFonts w:ascii="Times New Roman" w:eastAsia="Times New Roman" w:hAnsi="Times New Roman"/>
          <w:b/>
          <w:sz w:val="24"/>
          <w:szCs w:val="24"/>
        </w:rPr>
        <w:t>APDROŠINĀJUMA ŅĒMĒJS</w:t>
      </w:r>
      <w:r>
        <w:rPr>
          <w:rFonts w:ascii="Times New Roman" w:eastAsia="Times New Roman" w:hAnsi="Times New Roman"/>
          <w:sz w:val="24"/>
          <w:szCs w:val="24"/>
        </w:rPr>
        <w:t xml:space="preserve"> iegādājas vai saņem nomā jaunus transportlīdzekļus, Puses, pamatojoties uz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informāciju, noslēdz apdrošināšanas polisi, piemērojot apdrošināšanas likmes ne augstākas par publiskā iepirkuma finanšu piedāvājumā norādītajām. </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Ja </w:t>
      </w:r>
      <w:r>
        <w:rPr>
          <w:rFonts w:ascii="Times New Roman" w:eastAsia="Times New Roman" w:hAnsi="Times New Roman"/>
          <w:b/>
          <w:sz w:val="24"/>
          <w:szCs w:val="24"/>
        </w:rPr>
        <w:t>APDROŠINĀJUMA ŅĒMĒJS</w:t>
      </w:r>
      <w:r>
        <w:rPr>
          <w:rFonts w:ascii="Times New Roman" w:eastAsia="Times New Roman" w:hAnsi="Times New Roman"/>
          <w:sz w:val="24"/>
          <w:szCs w:val="24"/>
        </w:rPr>
        <w:t xml:space="preserve"> pārtrauc lietot īpašumā esošos vai nomātos transportlīdzekļus, Puses, pamatojoties uz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iesniegtu rakstisku informāciju, paraksta atbilstošu papildu vienošanos, KASKO apdrošināšanas neizmantotās prēmijas apmērs tiek atmaksāts saskaņā ar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Sauszemes transporta apdrošināšanas noteikumiem Nr.4.7. </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Ja </w:t>
      </w:r>
      <w:r>
        <w:rPr>
          <w:rFonts w:ascii="Times New Roman" w:eastAsia="Times New Roman" w:hAnsi="Times New Roman"/>
          <w:b/>
          <w:sz w:val="24"/>
          <w:szCs w:val="24"/>
        </w:rPr>
        <w:t>APDROŠINĀJUMA ŅĒMĒJS</w:t>
      </w:r>
      <w:r>
        <w:rPr>
          <w:rFonts w:ascii="Times New Roman" w:eastAsia="Times New Roman" w:hAnsi="Times New Roman"/>
          <w:sz w:val="24"/>
          <w:szCs w:val="24"/>
        </w:rPr>
        <w:t xml:space="preserve"> atsavina īpašumā esošos transportlīdzekļus vai nodot iznomātājam nomā saņemtos transportlīdzekļus, Puses, pamatojoties uz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iesniegtu rakstisku informāciju, paraksta atbilstošu papildu vienošanos, OCTA apdrošināšanas neizmantotās prēmijas apmērs tiek atmaksāts saskaņā ar „Sauszemes transportlīdzekļu īpašnieku civiltiesiskās atbildības obligātās apdrošināšanas likumu”.</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Papildu vienošanos no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puses ir pilnvarots parakstīt Jēkabpils pilsētas pašvaldības Saimnieciskās nodaļas vadītājs un/vai katras iestādes vadītājs un/vai attiecīgi pilnvarota persona. Transportlīdzekļu apdrošināšanas polises no </w:t>
      </w:r>
      <w:r>
        <w:rPr>
          <w:rFonts w:ascii="Times New Roman" w:eastAsia="Times New Roman" w:hAnsi="Times New Roman"/>
          <w:b/>
          <w:sz w:val="24"/>
          <w:szCs w:val="24"/>
        </w:rPr>
        <w:t>APDROŠINĀJUMA ŅĒMĒJA</w:t>
      </w:r>
      <w:r>
        <w:rPr>
          <w:rFonts w:ascii="Times New Roman" w:eastAsia="Times New Roman" w:hAnsi="Times New Roman"/>
          <w:sz w:val="24"/>
          <w:szCs w:val="24"/>
        </w:rPr>
        <w:t xml:space="preserve"> puses ir pilnvarots parakstīt Saimnieciskās nodaļas vadītājs un katras iestādes vadītājs. </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Nav spēkā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polisē, t.sk. apdrošināšanas noteikumos, ietvertās prasības, kas, salīdzinot ar publiskā iepirkuma (Id.Nr. JPP 2015/02) noteikumiem un līgumu, nosaka </w:t>
      </w:r>
      <w:r>
        <w:rPr>
          <w:rFonts w:ascii="Times New Roman" w:eastAsia="Times New Roman" w:hAnsi="Times New Roman"/>
          <w:b/>
          <w:sz w:val="24"/>
          <w:szCs w:val="24"/>
        </w:rPr>
        <w:t>APDROŠINĀJUMA ŅĒMĒJAM</w:t>
      </w:r>
      <w:r>
        <w:rPr>
          <w:rFonts w:ascii="Times New Roman" w:eastAsia="Times New Roman" w:hAnsi="Times New Roman"/>
          <w:sz w:val="24"/>
          <w:szCs w:val="24"/>
        </w:rPr>
        <w:t xml:space="preserve"> papildu ierobežojumus. Ja rodas </w:t>
      </w:r>
      <w:r>
        <w:rPr>
          <w:rFonts w:ascii="Times New Roman" w:eastAsia="Times New Roman" w:hAnsi="Times New Roman"/>
          <w:sz w:val="24"/>
          <w:szCs w:val="24"/>
        </w:rPr>
        <w:lastRenderedPageBreak/>
        <w:t xml:space="preserve">pretruna starp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polisē, t.sk. apdrošināšanas noteikumos, ietvertajām prasībām un iepirkuma (Id.Nr. JPP 2015/02) noteikumiem vai līgumu, noteicošie ir iepirkuma (Id.Nr. JPP 2015/02) noteikumi un līgums. </w:t>
      </w:r>
    </w:p>
    <w:p w:rsidR="006B4610" w:rsidRDefault="006F591C">
      <w:pPr>
        <w:numPr>
          <w:ilvl w:val="0"/>
          <w:numId w:val="7"/>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LĪGUMSLĒDZĒJU PUŠU TIESĪBAS UN PIENĀKUMI</w:t>
      </w:r>
    </w:p>
    <w:p w:rsidR="006B4610" w:rsidRDefault="006F591C">
      <w:pPr>
        <w:numPr>
          <w:ilvl w:val="1"/>
          <w:numId w:val="7"/>
        </w:numPr>
        <w:spacing w:after="0" w:line="240" w:lineRule="auto"/>
        <w:jc w:val="both"/>
      </w:pPr>
      <w:r>
        <w:rPr>
          <w:rFonts w:ascii="Times New Roman" w:eastAsia="Times New Roman" w:hAnsi="Times New Roman"/>
          <w:b/>
          <w:bCs/>
          <w:sz w:val="24"/>
          <w:szCs w:val="24"/>
        </w:rPr>
        <w:t xml:space="preserve">APDROŠINĀTĀJS </w:t>
      </w:r>
      <w:r>
        <w:rPr>
          <w:rFonts w:ascii="Times New Roman" w:eastAsia="Times New Roman" w:hAnsi="Times New Roman"/>
          <w:bCs/>
          <w:sz w:val="24"/>
          <w:szCs w:val="24"/>
        </w:rPr>
        <w:t>apņemas:</w:t>
      </w:r>
    </w:p>
    <w:p w:rsidR="006B4610" w:rsidRDefault="006F591C">
      <w:pPr>
        <w:numPr>
          <w:ilvl w:val="2"/>
          <w:numId w:val="7"/>
        </w:numPr>
        <w:spacing w:after="0" w:line="240" w:lineRule="auto"/>
        <w:jc w:val="both"/>
      </w:pPr>
      <w:r>
        <w:rPr>
          <w:rFonts w:ascii="Times New Roman" w:eastAsia="Times New Roman" w:hAnsi="Times New Roman"/>
          <w:sz w:val="24"/>
          <w:szCs w:val="24"/>
        </w:rPr>
        <w:t xml:space="preserve">sniegt </w:t>
      </w:r>
      <w:r>
        <w:rPr>
          <w:rFonts w:ascii="Times New Roman" w:eastAsia="Times New Roman" w:hAnsi="Times New Roman"/>
          <w:b/>
          <w:sz w:val="24"/>
          <w:szCs w:val="24"/>
        </w:rPr>
        <w:t>APDROŠINĀJUMA ŅĒMĒJAM</w:t>
      </w:r>
      <w:r>
        <w:rPr>
          <w:rFonts w:ascii="Times New Roman" w:eastAsia="Times New Roman" w:hAnsi="Times New Roman"/>
          <w:sz w:val="24"/>
          <w:szCs w:val="24"/>
        </w:rPr>
        <w:t xml:space="preserve"> visu informāciju, konsultācijas par transportlīdzekļu KASKO un sauszemes transportlīdzekļu īpašnieku obligātās civiltiesiskās atbildības (OCTA) apdrošināšanu; </w:t>
      </w:r>
    </w:p>
    <w:p w:rsidR="006B4610" w:rsidRDefault="006F591C">
      <w:pPr>
        <w:numPr>
          <w:ilvl w:val="2"/>
          <w:numId w:val="7"/>
        </w:numPr>
        <w:spacing w:after="0" w:line="240" w:lineRule="auto"/>
        <w:jc w:val="both"/>
      </w:pPr>
      <w:r>
        <w:rPr>
          <w:rFonts w:ascii="Times New Roman" w:eastAsia="Times New Roman" w:hAnsi="Times New Roman"/>
          <w:bCs/>
          <w:sz w:val="24"/>
          <w:szCs w:val="24"/>
        </w:rPr>
        <w:t>veikt apdrošināšanas pakalpojumus atbilstoši Latvijas Republikas normatīvajiem aktiem, kas regulē šādu apdrošināšanas pakalpojumu sniegšanu;</w:t>
      </w:r>
    </w:p>
    <w:p w:rsidR="006B4610" w:rsidRDefault="006F591C">
      <w:pPr>
        <w:numPr>
          <w:ilvl w:val="1"/>
          <w:numId w:val="7"/>
        </w:numPr>
        <w:spacing w:after="0" w:line="240" w:lineRule="auto"/>
        <w:jc w:val="both"/>
      </w:pPr>
      <w:r>
        <w:rPr>
          <w:rFonts w:ascii="Times New Roman" w:eastAsia="Times New Roman" w:hAnsi="Times New Roman"/>
          <w:b/>
          <w:sz w:val="24"/>
          <w:szCs w:val="24"/>
        </w:rPr>
        <w:t>APDROŠINĀTĀJS</w:t>
      </w:r>
      <w:r>
        <w:rPr>
          <w:rFonts w:ascii="Times New Roman" w:eastAsia="Times New Roman" w:hAnsi="Times New Roman"/>
          <w:sz w:val="24"/>
          <w:szCs w:val="24"/>
        </w:rPr>
        <w:t xml:space="preserve"> apliecina, ka viņam ir visas nepieciešamās atļaujas un kvalifikācija Līgumā paredzēto apdrošināšanas pakalpojumu sniegšanai.</w:t>
      </w:r>
    </w:p>
    <w:p w:rsidR="006B4610" w:rsidRDefault="006F591C">
      <w:pPr>
        <w:numPr>
          <w:ilvl w:val="1"/>
          <w:numId w:val="7"/>
        </w:numPr>
        <w:spacing w:after="0" w:line="240" w:lineRule="auto"/>
        <w:jc w:val="both"/>
      </w:pPr>
      <w:r>
        <w:rPr>
          <w:rFonts w:ascii="Times New Roman" w:eastAsia="Times New Roman" w:hAnsi="Times New Roman"/>
          <w:b/>
          <w:sz w:val="24"/>
          <w:szCs w:val="24"/>
        </w:rPr>
        <w:t xml:space="preserve">APDROŠINĀJUMA ŅĒMĒJS </w:t>
      </w:r>
      <w:r>
        <w:rPr>
          <w:rFonts w:ascii="Times New Roman" w:eastAsia="Times New Roman" w:hAnsi="Times New Roman"/>
          <w:sz w:val="24"/>
          <w:szCs w:val="24"/>
        </w:rPr>
        <w:t>(arī</w:t>
      </w:r>
      <w:r>
        <w:rPr>
          <w:rFonts w:ascii="Times New Roman" w:eastAsia="Times New Roman" w:hAnsi="Times New Roman"/>
          <w:b/>
          <w:sz w:val="24"/>
          <w:szCs w:val="24"/>
        </w:rPr>
        <w:t xml:space="preserve"> MAKSĀTĀJS</w:t>
      </w:r>
      <w:r>
        <w:rPr>
          <w:rFonts w:ascii="Times New Roman" w:eastAsia="Times New Roman" w:hAnsi="Times New Roman"/>
          <w:sz w:val="24"/>
          <w:szCs w:val="24"/>
        </w:rPr>
        <w:t xml:space="preserve">) apņemas: </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norēķināties ar </w:t>
      </w:r>
      <w:r>
        <w:rPr>
          <w:rFonts w:ascii="Times New Roman" w:eastAsia="Times New Roman" w:hAnsi="Times New Roman"/>
          <w:b/>
          <w:sz w:val="24"/>
          <w:szCs w:val="24"/>
        </w:rPr>
        <w:t>APDROŠINĀTĀJU</w:t>
      </w:r>
      <w:r>
        <w:rPr>
          <w:rFonts w:ascii="Times New Roman" w:eastAsia="Times New Roman" w:hAnsi="Times New Roman"/>
          <w:sz w:val="24"/>
          <w:szCs w:val="24"/>
        </w:rPr>
        <w:t xml:space="preserve"> saskaņā ar šī Līguma noteikumiem.</w:t>
      </w:r>
    </w:p>
    <w:p w:rsidR="006B4610" w:rsidRDefault="006F591C">
      <w:pPr>
        <w:numPr>
          <w:ilvl w:val="0"/>
          <w:numId w:val="7"/>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PUŠU ATBILDĪBA</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Par apdrošināšanas prēmijas samaksas termiņa nokavējumu </w:t>
      </w:r>
      <w:r>
        <w:rPr>
          <w:rFonts w:ascii="Times New Roman" w:eastAsia="Times New Roman" w:hAnsi="Times New Roman"/>
          <w:b/>
          <w:sz w:val="24"/>
          <w:szCs w:val="24"/>
        </w:rPr>
        <w:t>MAKSĀTĀJS</w:t>
      </w:r>
      <w:r>
        <w:rPr>
          <w:rFonts w:ascii="Times New Roman" w:eastAsia="Times New Roman" w:hAnsi="Times New Roman"/>
          <w:sz w:val="24"/>
          <w:szCs w:val="24"/>
        </w:rPr>
        <w:t xml:space="preserve"> maksā </w:t>
      </w:r>
      <w:r>
        <w:rPr>
          <w:rFonts w:ascii="Times New Roman" w:eastAsia="Times New Roman" w:hAnsi="Times New Roman"/>
          <w:b/>
          <w:sz w:val="24"/>
          <w:szCs w:val="24"/>
        </w:rPr>
        <w:t>APDROŠINĀTĀJAM</w:t>
      </w:r>
      <w:r>
        <w:rPr>
          <w:rFonts w:ascii="Times New Roman" w:eastAsia="Times New Roman" w:hAnsi="Times New Roman"/>
          <w:sz w:val="24"/>
          <w:szCs w:val="24"/>
        </w:rPr>
        <w:t xml:space="preserve"> līgumsodu 0,1% (nulle komats viens procents) apmērā no kavētā maksājuma summas par katru nokavēto kalendāro dienu.</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Katras Līgumā minētās </w:t>
      </w:r>
      <w:r>
        <w:rPr>
          <w:rFonts w:ascii="Times New Roman" w:eastAsia="Times New Roman" w:hAnsi="Times New Roman"/>
          <w:b/>
          <w:sz w:val="24"/>
          <w:szCs w:val="24"/>
        </w:rPr>
        <w:t xml:space="preserve">APDROŠINĀJUMA ŅĒMĒJAM </w:t>
      </w:r>
      <w:r>
        <w:rPr>
          <w:rFonts w:ascii="Times New Roman" w:eastAsia="Times New Roman" w:hAnsi="Times New Roman"/>
          <w:sz w:val="24"/>
          <w:szCs w:val="24"/>
        </w:rPr>
        <w:t xml:space="preserve">(arī </w:t>
      </w:r>
      <w:r>
        <w:rPr>
          <w:rFonts w:ascii="Times New Roman" w:eastAsia="Times New Roman" w:hAnsi="Times New Roman"/>
          <w:b/>
          <w:sz w:val="24"/>
          <w:szCs w:val="24"/>
        </w:rPr>
        <w:t>MAKSĀTĀJAM</w:t>
      </w:r>
      <w:r>
        <w:rPr>
          <w:rFonts w:ascii="Times New Roman" w:eastAsia="Times New Roman" w:hAnsi="Times New Roman"/>
          <w:sz w:val="24"/>
          <w:szCs w:val="24"/>
        </w:rPr>
        <w:t xml:space="preserve">) pienākošās summas, t.sk. apdrošināšanas atlīdzības izmaksāšanas termiņa nokavējuma gadījumā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maksā </w:t>
      </w:r>
      <w:r>
        <w:rPr>
          <w:rFonts w:ascii="Times New Roman" w:eastAsia="Times New Roman" w:hAnsi="Times New Roman"/>
          <w:b/>
          <w:sz w:val="24"/>
          <w:szCs w:val="24"/>
        </w:rPr>
        <w:t>MAKSĀTĀJAM</w:t>
      </w:r>
      <w:r>
        <w:rPr>
          <w:rFonts w:ascii="Times New Roman" w:eastAsia="Times New Roman" w:hAnsi="Times New Roman"/>
          <w:sz w:val="24"/>
          <w:szCs w:val="24"/>
        </w:rPr>
        <w:t xml:space="preserve"> līgumsodu 0,1% (nulle komats viens procents) apmērā no savlaicīgi nesamaksātās summas par katru nokavēto kalendāro dienu. </w:t>
      </w:r>
    </w:p>
    <w:p w:rsidR="006B4610" w:rsidRDefault="006F591C">
      <w:pPr>
        <w:numPr>
          <w:ilvl w:val="1"/>
          <w:numId w:val="7"/>
        </w:numPr>
        <w:spacing w:after="0" w:line="240" w:lineRule="auto"/>
        <w:jc w:val="both"/>
      </w:pPr>
      <w:r>
        <w:rPr>
          <w:rFonts w:ascii="Times New Roman" w:eastAsia="Times New Roman" w:hAnsi="Times New Roman"/>
          <w:bCs/>
          <w:color w:val="000000"/>
          <w:sz w:val="24"/>
          <w:szCs w:val="24"/>
        </w:rPr>
        <w:t>Līgumsoda samaksa neatbrīvo Puses no Līgumā uzņemto saistību izpildes.</w:t>
      </w:r>
    </w:p>
    <w:p w:rsidR="006B4610" w:rsidRDefault="006F591C">
      <w:pPr>
        <w:numPr>
          <w:ilvl w:val="0"/>
          <w:numId w:val="7"/>
        </w:num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LĪGUMA LAUŠANA</w:t>
      </w:r>
    </w:p>
    <w:p w:rsidR="006B4610" w:rsidRDefault="006F591C">
      <w:pPr>
        <w:numPr>
          <w:ilvl w:val="1"/>
          <w:numId w:val="7"/>
        </w:numPr>
        <w:spacing w:after="0" w:line="240" w:lineRule="auto"/>
        <w:jc w:val="both"/>
      </w:pPr>
      <w:r>
        <w:rPr>
          <w:rFonts w:ascii="Times New Roman" w:eastAsia="Times New Roman" w:hAnsi="Times New Roman"/>
          <w:sz w:val="24"/>
          <w:szCs w:val="24"/>
        </w:rPr>
        <w:t>Līgumu var papildināt, grozīt vai izbeigt, Pusēm savstarpēji vienojoties, ievērojot Publisko iepirkumu likuma 67.</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panta regulējumu. Jebkuras Līguma izmaiņas vai papildinājumi tiek noformēti rakstveidā un kļūst par Līguma neatņemamām sastāvdaļām pēc Pušu parakstīšanas.</w:t>
      </w:r>
    </w:p>
    <w:p w:rsidR="006B4610" w:rsidRDefault="006F591C">
      <w:pPr>
        <w:numPr>
          <w:ilvl w:val="1"/>
          <w:numId w:val="7"/>
        </w:numPr>
        <w:spacing w:after="0" w:line="240" w:lineRule="auto"/>
        <w:jc w:val="both"/>
      </w:pPr>
      <w:r>
        <w:rPr>
          <w:rFonts w:ascii="Times New Roman" w:eastAsia="Times New Roman" w:hAnsi="Times New Roman"/>
          <w:b/>
          <w:sz w:val="24"/>
          <w:szCs w:val="24"/>
        </w:rPr>
        <w:t xml:space="preserve">APDROŠINĀJUMA ŅĒMĒJS </w:t>
      </w:r>
      <w:r>
        <w:rPr>
          <w:rFonts w:ascii="Times New Roman" w:eastAsia="Times New Roman" w:hAnsi="Times New Roman"/>
          <w:sz w:val="24"/>
          <w:szCs w:val="24"/>
        </w:rPr>
        <w:t xml:space="preserve">ir tiesīgs vienpusēji atkāpties no Līguma, rakstiski par to paziņojot </w:t>
      </w:r>
      <w:r>
        <w:rPr>
          <w:rFonts w:ascii="Times New Roman" w:eastAsia="Times New Roman" w:hAnsi="Times New Roman"/>
          <w:b/>
          <w:sz w:val="24"/>
          <w:szCs w:val="24"/>
        </w:rPr>
        <w:t>APDROŠINĀTĀJAM,</w:t>
      </w:r>
      <w:r>
        <w:rPr>
          <w:rFonts w:ascii="Times New Roman" w:eastAsia="Times New Roman" w:hAnsi="Times New Roman"/>
          <w:sz w:val="24"/>
          <w:szCs w:val="24"/>
        </w:rPr>
        <w:t xml:space="preserve"> norādot atkāpšanās iemeslu, nemaksājot līgumsodu un nesedzot </w:t>
      </w:r>
      <w:r>
        <w:rPr>
          <w:rFonts w:ascii="Times New Roman" w:eastAsia="Times New Roman" w:hAnsi="Times New Roman"/>
          <w:b/>
          <w:sz w:val="24"/>
          <w:szCs w:val="24"/>
        </w:rPr>
        <w:t>APDROŠINĀTĀJAM</w:t>
      </w:r>
      <w:r>
        <w:rPr>
          <w:rFonts w:ascii="Times New Roman" w:eastAsia="Times New Roman" w:hAnsi="Times New Roman"/>
          <w:sz w:val="24"/>
          <w:szCs w:val="24"/>
        </w:rPr>
        <w:t xml:space="preserve"> nekādus zaudējumus, ja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atkārtoti pārkāpis Līgumu. </w:t>
      </w:r>
    </w:p>
    <w:p w:rsidR="006B4610" w:rsidRDefault="006F591C">
      <w:pPr>
        <w:numPr>
          <w:ilvl w:val="1"/>
          <w:numId w:val="7"/>
        </w:numPr>
        <w:spacing w:after="0" w:line="240" w:lineRule="auto"/>
        <w:jc w:val="both"/>
      </w:pPr>
      <w:r>
        <w:rPr>
          <w:rFonts w:ascii="Times New Roman" w:eastAsia="Times New Roman" w:hAnsi="Times New Roman"/>
          <w:sz w:val="24"/>
          <w:szCs w:val="24"/>
        </w:rPr>
        <w:t xml:space="preserve">Ja </w:t>
      </w:r>
      <w:r>
        <w:rPr>
          <w:rFonts w:ascii="Times New Roman" w:eastAsia="Times New Roman" w:hAnsi="Times New Roman"/>
          <w:b/>
          <w:sz w:val="24"/>
          <w:szCs w:val="24"/>
        </w:rPr>
        <w:t xml:space="preserve">APDROŠINĀJUMA ŅĒMĒJS </w:t>
      </w:r>
      <w:r>
        <w:rPr>
          <w:rFonts w:ascii="Times New Roman" w:eastAsia="Times New Roman" w:hAnsi="Times New Roman"/>
          <w:sz w:val="24"/>
          <w:szCs w:val="24"/>
        </w:rPr>
        <w:t xml:space="preserve">atkāpjas no Līguma saskaņā ar Līguma 7.2.punktu,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10 (desmit) darba dienu laikā pēc </w:t>
      </w:r>
      <w:r>
        <w:rPr>
          <w:rFonts w:ascii="Times New Roman" w:eastAsia="Times New Roman" w:hAnsi="Times New Roman"/>
          <w:b/>
          <w:sz w:val="24"/>
          <w:szCs w:val="24"/>
        </w:rPr>
        <w:t xml:space="preserve">APDROŠINĀJUMA ŅĒMĒJA </w:t>
      </w:r>
      <w:r>
        <w:rPr>
          <w:rFonts w:ascii="Times New Roman" w:eastAsia="Times New Roman" w:hAnsi="Times New Roman"/>
          <w:sz w:val="24"/>
          <w:szCs w:val="24"/>
        </w:rPr>
        <w:t xml:space="preserve">paziņojuma saņemšanas: </w:t>
      </w:r>
    </w:p>
    <w:p w:rsidR="006B4610" w:rsidRDefault="006F591C">
      <w:pPr>
        <w:numPr>
          <w:ilvl w:val="2"/>
          <w:numId w:val="7"/>
        </w:numPr>
        <w:spacing w:after="0" w:line="240" w:lineRule="auto"/>
        <w:jc w:val="both"/>
      </w:pPr>
      <w:r>
        <w:rPr>
          <w:rFonts w:ascii="Times New Roman" w:eastAsia="Times New Roman" w:hAnsi="Times New Roman"/>
          <w:sz w:val="24"/>
          <w:szCs w:val="24"/>
        </w:rPr>
        <w:t xml:space="preserve">atmaksā </w:t>
      </w:r>
      <w:r>
        <w:rPr>
          <w:rFonts w:ascii="Times New Roman" w:eastAsia="Times New Roman" w:hAnsi="Times New Roman"/>
          <w:b/>
          <w:sz w:val="24"/>
          <w:szCs w:val="24"/>
        </w:rPr>
        <w:t>MAKSĀTĀJAM</w:t>
      </w:r>
      <w:r>
        <w:rPr>
          <w:rFonts w:ascii="Times New Roman" w:eastAsia="Times New Roman" w:hAnsi="Times New Roman"/>
          <w:sz w:val="24"/>
          <w:szCs w:val="24"/>
        </w:rPr>
        <w:t xml:space="preserve"> visu no tā saņemto KASKO apdrošināšanas prēmijas daļu par atlikušo apdrošināšanas periodu saskaņā ar </w:t>
      </w:r>
      <w:r>
        <w:rPr>
          <w:rFonts w:ascii="Times New Roman" w:eastAsia="Times New Roman" w:hAnsi="Times New Roman"/>
          <w:b/>
          <w:sz w:val="24"/>
          <w:szCs w:val="24"/>
        </w:rPr>
        <w:t>APDROŠINĀTĀJA</w:t>
      </w:r>
      <w:r>
        <w:rPr>
          <w:rFonts w:ascii="Times New Roman" w:eastAsia="Times New Roman" w:hAnsi="Times New Roman"/>
          <w:sz w:val="24"/>
          <w:szCs w:val="24"/>
        </w:rPr>
        <w:t xml:space="preserve"> Sauszemes transporta apdrošināšanas noteikumiem Nr. 4.7.</w:t>
      </w:r>
    </w:p>
    <w:p w:rsidR="006B4610" w:rsidRDefault="006F591C">
      <w:pPr>
        <w:numPr>
          <w:ilvl w:val="1"/>
          <w:numId w:val="7"/>
        </w:numPr>
        <w:spacing w:after="0" w:line="240" w:lineRule="auto"/>
        <w:jc w:val="both"/>
      </w:pPr>
      <w:r>
        <w:rPr>
          <w:rFonts w:ascii="Times New Roman" w:eastAsia="Times New Roman" w:hAnsi="Times New Roman"/>
          <w:b/>
          <w:sz w:val="24"/>
          <w:szCs w:val="24"/>
        </w:rPr>
        <w:t xml:space="preserve">APDROŠINĀJUMA ŅĒMĒJA </w:t>
      </w:r>
      <w:r>
        <w:rPr>
          <w:rFonts w:ascii="Times New Roman" w:eastAsia="Times New Roman" w:hAnsi="Times New Roman"/>
          <w:sz w:val="24"/>
          <w:szCs w:val="24"/>
        </w:rPr>
        <w:t xml:space="preserve">atkāpšanās no Līguma neatbrīvo </w:t>
      </w:r>
      <w:r>
        <w:rPr>
          <w:rFonts w:ascii="Times New Roman" w:eastAsia="Times New Roman" w:hAnsi="Times New Roman"/>
          <w:b/>
          <w:sz w:val="24"/>
          <w:szCs w:val="24"/>
        </w:rPr>
        <w:t>APDROŠINĀTĀJU</w:t>
      </w:r>
      <w:r>
        <w:rPr>
          <w:rFonts w:ascii="Times New Roman" w:eastAsia="Times New Roman" w:hAnsi="Times New Roman"/>
          <w:sz w:val="24"/>
          <w:szCs w:val="24"/>
        </w:rPr>
        <w:t xml:space="preserve"> no apdrošināšanas atlīdzības izmaksas. </w:t>
      </w:r>
    </w:p>
    <w:p w:rsidR="006B4610" w:rsidRDefault="006F591C">
      <w:pPr>
        <w:numPr>
          <w:ilvl w:val="0"/>
          <w:numId w:val="7"/>
        </w:numPr>
        <w:tabs>
          <w:tab w:val="left" w:pos="-2340"/>
          <w:tab w:val="left" w:pos="177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STRĪDU RISINĀŠANAS KĀRTĪBA</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 xml:space="preserve">Jebkurus strīdus, nesaskaņas vai domstarpības </w:t>
      </w:r>
      <w:r>
        <w:rPr>
          <w:rFonts w:ascii="Times New Roman" w:eastAsia="Times New Roman" w:hAnsi="Times New Roman"/>
          <w:bCs/>
          <w:sz w:val="24"/>
          <w:szCs w:val="24"/>
        </w:rPr>
        <w:t>Puses</w:t>
      </w:r>
      <w:r>
        <w:rPr>
          <w:rFonts w:ascii="Times New Roman" w:eastAsia="Times New Roman" w:hAnsi="Times New Roman"/>
          <w:b/>
          <w:bCs/>
          <w:sz w:val="24"/>
          <w:szCs w:val="24"/>
        </w:rPr>
        <w:t xml:space="preserve"> </w:t>
      </w:r>
      <w:r>
        <w:rPr>
          <w:rFonts w:ascii="Times New Roman" w:eastAsia="Times New Roman" w:hAnsi="Times New Roman"/>
          <w:sz w:val="24"/>
          <w:szCs w:val="24"/>
        </w:rPr>
        <w:t>risina savstarpēju sarunu ceļā. Strīdus un domstarpības, par kurām Puses nevar vienoties pārrunu ceļā, Puses izskata tiesā Latvijas Republikas normatīvajos aktos noteiktajā kārtībā.</w:t>
      </w:r>
    </w:p>
    <w:p w:rsidR="006B4610" w:rsidRDefault="006F591C">
      <w:pPr>
        <w:numPr>
          <w:ilvl w:val="0"/>
          <w:numId w:val="7"/>
        </w:numPr>
        <w:tabs>
          <w:tab w:val="left" w:pos="-2340"/>
          <w:tab w:val="left" w:pos="1770"/>
        </w:tabs>
        <w:spacing w:after="0" w:line="240" w:lineRule="auto"/>
        <w:jc w:val="center"/>
      </w:pPr>
      <w:r>
        <w:rPr>
          <w:rFonts w:ascii="Times New Roman" w:eastAsia="Times New Roman" w:hAnsi="Times New Roman"/>
          <w:b/>
          <w:color w:val="000000"/>
          <w:sz w:val="24"/>
          <w:szCs w:val="24"/>
        </w:rPr>
        <w:t>NEPĀRVARAMĀ VARA</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Puse nav atbildīga par Līgumā noteikto saistību pilnīgu vai daļēju neizpildi, ja tā radusies tādu apstākļu dēļ, kurus Puse nevar paredzēt Līguma slēgšanas brīdī, kā arī pārvarēt vai novērst, t.sk. dabas stihijas, ugunsgrēka, militārās akcijas vai blokādes dēļ (turpmāk tekstā – nepārvaramas varas apstākļi).</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lastRenderedPageBreak/>
        <w:t>Puse, kura nevar izpildīt Līgumā noteiktās saistības nepārvaramās varas apstākļu dēļ, nekavējoties par to paziņo otrai Pusei. Pretējā gadījumā Pusei nav tiesību atsaukties uz nepārvaramās varas apstākļiem kā uz atbrīvošanas no atbildības pamatu.</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Nepārvaramās varas apstākļu gadījumā Līgumā noteikto saistību izpildes termiņš automātiski pagarinās par laiku, kas vienāds ar nepārvaramās varas apstākļu darbības laiku.</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 xml:space="preserve">Nepārvaramās varas apstākļu iestāšanās faktu Puse, kura nevar izpildīt Līgumā noteiktās saistības, pierāda ar kompetentu valsts vai pašvaldības institūcijas izdotu dokumentu. </w:t>
      </w:r>
    </w:p>
    <w:p w:rsidR="006B4610" w:rsidRDefault="006F591C">
      <w:pPr>
        <w:numPr>
          <w:ilvl w:val="0"/>
          <w:numId w:val="7"/>
        </w:numPr>
        <w:tabs>
          <w:tab w:val="left" w:pos="-2340"/>
          <w:tab w:val="left" w:pos="177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KONFIDENCIALITĀTE</w:t>
      </w:r>
    </w:p>
    <w:p w:rsidR="006B4610" w:rsidRDefault="006F591C">
      <w:pPr>
        <w:numPr>
          <w:ilvl w:val="1"/>
          <w:numId w:val="7"/>
        </w:numPr>
        <w:tabs>
          <w:tab w:val="left" w:pos="-4320"/>
          <w:tab w:val="left" w:pos="-54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Puse nedrīkst izpaust informāciju par otru Pusi un Līgumu, izņemot publiski pieejamu informāciju, bez otras Puses rakstiskas atļaujas, izņemot normatīvajos aktos noteiktajos gadījumos. </w:t>
      </w:r>
    </w:p>
    <w:p w:rsidR="006B4610" w:rsidRDefault="006F591C">
      <w:pPr>
        <w:numPr>
          <w:ilvl w:val="1"/>
          <w:numId w:val="7"/>
        </w:numPr>
        <w:tabs>
          <w:tab w:val="left" w:pos="-4320"/>
          <w:tab w:val="left" w:pos="-54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Līguma 10.1.punktā noteiktais konfidencialitātes pienākums ir spēkā neierobežotu laiku un paliek spēkā arī tad, ja Puse vienpusēji atkāpjas no Līguma vai ja Līgums izbeidzas citādi.</w:t>
      </w:r>
    </w:p>
    <w:p w:rsidR="006B4610" w:rsidRDefault="006F591C">
      <w:pPr>
        <w:numPr>
          <w:ilvl w:val="0"/>
          <w:numId w:val="7"/>
        </w:numPr>
        <w:tabs>
          <w:tab w:val="left" w:pos="-2340"/>
          <w:tab w:val="left" w:pos="1770"/>
        </w:tabs>
        <w:spacing w:after="0" w:line="240" w:lineRule="auto"/>
        <w:jc w:val="center"/>
      </w:pPr>
      <w:r>
        <w:rPr>
          <w:rFonts w:ascii="Times New Roman" w:eastAsia="Times New Roman" w:hAnsi="Times New Roman"/>
          <w:b/>
          <w:sz w:val="24"/>
          <w:szCs w:val="24"/>
        </w:rPr>
        <w:t xml:space="preserve">CITI NOTEIKUMI </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bCs/>
          <w:color w:val="000000"/>
          <w:sz w:val="24"/>
          <w:szCs w:val="24"/>
        </w:rPr>
        <w:t>Līgums stājas spēkā ar tā parakstīšanas brīdi un darbojas līdz Pušu saistību pilnīgai izpildei.</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Puses, savstarpēji vienojoties, ir tiesīgas izdarīt izmaiņas Līgumā. Ikviena Līguma izmaiņa tiek noformēta rakstveidā un abu Pušu parakstīta. Jebkuras izmaiņas vai papildinājumi kļūst par neatņemamu Līguma sastāvdaļu.</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 xml:space="preserve">Visi Līguma pielikumi ir tā neatņemamas sastāvdaļas. </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 xml:space="preserve">Līgums ir spēkā līdz brīdim, kad Puses ir izpildījušas visas savas saistības, vai līdz brīdim, kad Puses ir panākušas vienošanos par Līguma izpildes pārtraukšanu, vai arī līdz brīdim, kad kāda no Pusēm, saskaņā ar šo Līgumu, to lauž vienpusēji. </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bCs/>
          <w:sz w:val="24"/>
          <w:szCs w:val="24"/>
        </w:rPr>
        <w:t>Jautājumi, kuri nav izlemti šajā Līgumā, tiek izlemti atbilstoši Latvijas Republikas spēkā esošajiem normatīvajiem aktiem.</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sz w:val="24"/>
          <w:szCs w:val="24"/>
        </w:rPr>
        <w:t xml:space="preserve">Šis Līgums ir saistošs </w:t>
      </w:r>
      <w:r>
        <w:rPr>
          <w:rFonts w:ascii="Times New Roman" w:eastAsia="Times New Roman" w:hAnsi="Times New Roman"/>
          <w:b/>
          <w:sz w:val="24"/>
          <w:szCs w:val="24"/>
        </w:rPr>
        <w:t>APROŠINĀJUMA ŅĒMĒJAM</w:t>
      </w:r>
      <w:r>
        <w:rPr>
          <w:rFonts w:ascii="Times New Roman" w:eastAsia="Times New Roman" w:hAnsi="Times New Roman"/>
          <w:sz w:val="24"/>
          <w:szCs w:val="24"/>
        </w:rPr>
        <w:t xml:space="preserve"> un </w:t>
      </w:r>
      <w:r>
        <w:rPr>
          <w:rFonts w:ascii="Times New Roman" w:eastAsia="Times New Roman" w:hAnsi="Times New Roman"/>
          <w:b/>
          <w:sz w:val="24"/>
          <w:szCs w:val="24"/>
        </w:rPr>
        <w:t>APDROŠINĀTĀJAM,</w:t>
      </w:r>
      <w:r>
        <w:rPr>
          <w:rFonts w:ascii="Times New Roman" w:eastAsia="Times New Roman" w:hAnsi="Times New Roman"/>
          <w:sz w:val="24"/>
          <w:szCs w:val="24"/>
        </w:rPr>
        <w:t xml:space="preserve"> kā arī visām trešajām personām, kas likumīgi pārņem viņu tiesības un pienākumus.</w:t>
      </w:r>
    </w:p>
    <w:p w:rsidR="006B4610" w:rsidRDefault="006F591C">
      <w:pPr>
        <w:numPr>
          <w:ilvl w:val="1"/>
          <w:numId w:val="7"/>
        </w:numPr>
        <w:tabs>
          <w:tab w:val="left" w:pos="-4320"/>
          <w:tab w:val="left" w:pos="-54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Lai nodrošinātu savlaicīgu un kvalitatīvu Līguma izpildi, Puses pilnvaro pārstāvjus:</w:t>
      </w:r>
    </w:p>
    <w:p w:rsidR="006B4610" w:rsidRDefault="006F591C">
      <w:pPr>
        <w:numPr>
          <w:ilvl w:val="2"/>
          <w:numId w:val="7"/>
        </w:numPr>
        <w:tabs>
          <w:tab w:val="left" w:pos="-4320"/>
          <w:tab w:val="left" w:pos="-540"/>
        </w:tabs>
        <w:spacing w:after="0" w:line="240" w:lineRule="auto"/>
        <w:jc w:val="both"/>
      </w:pPr>
      <w:r>
        <w:rPr>
          <w:rFonts w:ascii="Times New Roman" w:eastAsia="Times New Roman" w:hAnsi="Times New Roman"/>
          <w:bCs/>
          <w:sz w:val="24"/>
          <w:szCs w:val="24"/>
        </w:rPr>
        <w:t xml:space="preserve">no </w:t>
      </w:r>
      <w:r>
        <w:rPr>
          <w:rFonts w:ascii="Times New Roman" w:eastAsia="Times New Roman" w:hAnsi="Times New Roman"/>
          <w:b/>
          <w:bCs/>
          <w:sz w:val="24"/>
          <w:szCs w:val="24"/>
        </w:rPr>
        <w:t>APDROŠINĀJUMA ŅĒMĒJA (MAKSĀTĀJA)</w:t>
      </w:r>
      <w:r>
        <w:rPr>
          <w:rFonts w:ascii="Times New Roman" w:eastAsia="Times New Roman" w:hAnsi="Times New Roman"/>
          <w:bCs/>
          <w:sz w:val="24"/>
          <w:szCs w:val="24"/>
        </w:rPr>
        <w:t xml:space="preserve"> puses: </w:t>
      </w:r>
    </w:p>
    <w:p w:rsidR="006B4610" w:rsidRDefault="006F591C">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Saimnieciskās nodaļas vadītājs:</w:t>
      </w:r>
    </w:p>
    <w:p w:rsidR="006B4610" w:rsidRDefault="006F591C">
      <w:pPr>
        <w:tabs>
          <w:tab w:val="left" w:pos="450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Pēteris Lazdāns</w:t>
      </w:r>
    </w:p>
    <w:p w:rsidR="006B4610" w:rsidRDefault="006F591C">
      <w:pPr>
        <w:autoSpaceDE w:val="0"/>
        <w:spacing w:after="0" w:line="240" w:lineRule="auto"/>
        <w:ind w:left="4320"/>
        <w:rPr>
          <w:rFonts w:ascii="Times New Roman" w:eastAsia="Times New Roman" w:hAnsi="Times New Roman"/>
          <w:sz w:val="24"/>
          <w:szCs w:val="24"/>
        </w:rPr>
      </w:pPr>
      <w:r>
        <w:rPr>
          <w:rFonts w:ascii="Times New Roman" w:eastAsia="Times New Roman" w:hAnsi="Times New Roman"/>
          <w:sz w:val="24"/>
          <w:szCs w:val="24"/>
        </w:rPr>
        <w:t xml:space="preserve">          tālr.: 652 07427, mob.tālr. +371 29436394</w:t>
      </w:r>
    </w:p>
    <w:p w:rsidR="006B4610" w:rsidRDefault="006F591C">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fakss: 652 07304</w:t>
      </w:r>
    </w:p>
    <w:p w:rsidR="006B4610" w:rsidRDefault="006F591C">
      <w:pPr>
        <w:spacing w:after="0" w:line="240" w:lineRule="auto"/>
        <w:jc w:val="both"/>
      </w:pPr>
      <w:r>
        <w:rPr>
          <w:rFonts w:ascii="Times New Roman" w:eastAsia="Times New Roman" w:hAnsi="Times New Roman"/>
          <w:sz w:val="24"/>
          <w:szCs w:val="24"/>
        </w:rPr>
        <w:t xml:space="preserve">                                                                                  e-pasts: </w:t>
      </w:r>
      <w:hyperlink r:id="rId7" w:history="1">
        <w:r>
          <w:rPr>
            <w:rFonts w:ascii="Times New Roman" w:eastAsia="Times New Roman" w:hAnsi="Times New Roman"/>
            <w:color w:val="0000FF"/>
            <w:sz w:val="24"/>
            <w:szCs w:val="24"/>
            <w:u w:val="single"/>
          </w:rPr>
          <w:t>peteris.lazdans@jekabpils.lv</w:t>
        </w:r>
      </w:hyperlink>
      <w:r>
        <w:rPr>
          <w:rFonts w:ascii="Times New Roman" w:eastAsia="Times New Roman" w:hAnsi="Times New Roman"/>
          <w:sz w:val="24"/>
          <w:szCs w:val="24"/>
        </w:rPr>
        <w:t>.</w:t>
      </w:r>
    </w:p>
    <w:p w:rsidR="006B4610" w:rsidRDefault="006F591C">
      <w:pPr>
        <w:numPr>
          <w:ilvl w:val="2"/>
          <w:numId w:val="7"/>
        </w:numPr>
        <w:tabs>
          <w:tab w:val="left" w:pos="-4320"/>
          <w:tab w:val="left" w:pos="-540"/>
        </w:tabs>
        <w:spacing w:after="0" w:line="240" w:lineRule="auto"/>
        <w:jc w:val="both"/>
      </w:pPr>
      <w:r>
        <w:rPr>
          <w:rFonts w:ascii="Times New Roman" w:hAnsi="Times New Roman"/>
          <w:bCs/>
          <w:sz w:val="24"/>
          <w:szCs w:val="24"/>
        </w:rPr>
        <w:t xml:space="preserve">no </w:t>
      </w:r>
      <w:r>
        <w:rPr>
          <w:rFonts w:ascii="Times New Roman" w:hAnsi="Times New Roman"/>
          <w:b/>
          <w:bCs/>
          <w:sz w:val="24"/>
          <w:szCs w:val="24"/>
        </w:rPr>
        <w:t xml:space="preserve">APDROŠINĀTĀJA </w:t>
      </w:r>
      <w:r>
        <w:rPr>
          <w:rFonts w:ascii="Times New Roman" w:hAnsi="Times New Roman"/>
          <w:bCs/>
          <w:sz w:val="24"/>
          <w:szCs w:val="24"/>
        </w:rPr>
        <w:t>puses:</w:t>
      </w:r>
    </w:p>
    <w:p w:rsidR="006B4610" w:rsidRDefault="006F591C">
      <w:pPr>
        <w:tabs>
          <w:tab w:val="left" w:pos="4500"/>
          <w:tab w:val="left" w:pos="4962"/>
        </w:tabs>
        <w:spacing w:after="0" w:line="240" w:lineRule="auto"/>
        <w:jc w:val="both"/>
        <w:rPr>
          <w:rFonts w:ascii="Times New Roman" w:hAnsi="Times New Roman"/>
          <w:bCs/>
          <w:sz w:val="24"/>
          <w:szCs w:val="24"/>
        </w:rPr>
      </w:pPr>
      <w:r>
        <w:rPr>
          <w:rFonts w:ascii="Times New Roman" w:hAnsi="Times New Roman"/>
          <w:bCs/>
          <w:sz w:val="24"/>
          <w:szCs w:val="24"/>
        </w:rPr>
        <w:t xml:space="preserve">                                                                                  Jēkabpils filiāles vadītāja:</w:t>
      </w:r>
      <w:r>
        <w:rPr>
          <w:rFonts w:ascii="Times New Roman" w:hAnsi="Times New Roman"/>
          <w:bCs/>
          <w:sz w:val="24"/>
          <w:szCs w:val="24"/>
        </w:rPr>
        <w:tab/>
      </w:r>
      <w:r>
        <w:rPr>
          <w:rFonts w:ascii="Times New Roman" w:hAnsi="Times New Roman"/>
          <w:bCs/>
          <w:sz w:val="24"/>
          <w:szCs w:val="24"/>
        </w:rPr>
        <w:tab/>
      </w:r>
    </w:p>
    <w:p w:rsidR="006B4610" w:rsidRDefault="006F591C">
      <w:pPr>
        <w:tabs>
          <w:tab w:val="left" w:pos="4500"/>
        </w:tabs>
        <w:spacing w:after="0" w:line="240" w:lineRule="auto"/>
        <w:jc w:val="both"/>
        <w:rPr>
          <w:rFonts w:ascii="Times New Roman" w:hAnsi="Times New Roman"/>
          <w:bCs/>
          <w:sz w:val="24"/>
          <w:szCs w:val="24"/>
        </w:rPr>
      </w:pPr>
      <w:r>
        <w:rPr>
          <w:rFonts w:ascii="Times New Roman" w:hAnsi="Times New Roman"/>
          <w:bCs/>
          <w:sz w:val="24"/>
          <w:szCs w:val="24"/>
        </w:rPr>
        <w:tab/>
        <w:t xml:space="preserve">       Anita Krūmiņa</w:t>
      </w:r>
    </w:p>
    <w:p w:rsidR="006B4610" w:rsidRDefault="006F591C">
      <w:pPr>
        <w:tabs>
          <w:tab w:val="left" w:pos="4962"/>
        </w:tabs>
        <w:spacing w:after="0" w:line="240" w:lineRule="auto"/>
        <w:jc w:val="both"/>
      </w:pPr>
      <w:r>
        <w:rPr>
          <w:rFonts w:ascii="Times New Roman" w:hAnsi="Times New Roman"/>
          <w:bCs/>
          <w:sz w:val="24"/>
          <w:szCs w:val="24"/>
        </w:rPr>
        <w:tab/>
        <w:t xml:space="preserve">tālr.: 652 31581, </w:t>
      </w:r>
      <w:r>
        <w:rPr>
          <w:rFonts w:ascii="Times New Roman" w:eastAsia="Times New Roman" w:hAnsi="Times New Roman"/>
          <w:sz w:val="24"/>
          <w:szCs w:val="24"/>
        </w:rPr>
        <w:t>mob.tālr. +371 26466454</w:t>
      </w:r>
    </w:p>
    <w:p w:rsidR="006B4610" w:rsidRDefault="006F591C">
      <w:pPr>
        <w:tabs>
          <w:tab w:val="left" w:pos="4500"/>
        </w:tabs>
        <w:spacing w:after="0" w:line="240" w:lineRule="auto"/>
        <w:jc w:val="both"/>
        <w:rPr>
          <w:rFonts w:ascii="Times New Roman" w:hAnsi="Times New Roman"/>
          <w:bCs/>
          <w:sz w:val="24"/>
          <w:szCs w:val="24"/>
        </w:rPr>
      </w:pPr>
      <w:r>
        <w:rPr>
          <w:rFonts w:ascii="Times New Roman" w:hAnsi="Times New Roman"/>
          <w:bCs/>
          <w:sz w:val="24"/>
          <w:szCs w:val="24"/>
        </w:rPr>
        <w:tab/>
        <w:t xml:space="preserve">       fakss: 652 32727 </w:t>
      </w:r>
    </w:p>
    <w:p w:rsidR="006B4610" w:rsidRDefault="006F591C">
      <w:pPr>
        <w:tabs>
          <w:tab w:val="left" w:pos="4500"/>
        </w:tabs>
        <w:spacing w:after="0" w:line="240" w:lineRule="auto"/>
        <w:jc w:val="both"/>
      </w:pPr>
      <w:r>
        <w:rPr>
          <w:rFonts w:ascii="Times New Roman" w:hAnsi="Times New Roman"/>
          <w:bCs/>
          <w:sz w:val="24"/>
          <w:szCs w:val="24"/>
        </w:rPr>
        <w:tab/>
        <w:t xml:space="preserve">       e-pasts: </w:t>
      </w:r>
      <w:hyperlink r:id="rId8" w:history="1">
        <w:r>
          <w:rPr>
            <w:rStyle w:val="Hyperlink"/>
            <w:rFonts w:ascii="Times New Roman" w:hAnsi="Times New Roman"/>
            <w:bCs/>
            <w:sz w:val="24"/>
            <w:szCs w:val="24"/>
          </w:rPr>
          <w:t>anita.krumina@gjensidige.lv</w:t>
        </w:r>
      </w:hyperlink>
      <w:r>
        <w:rPr>
          <w:rFonts w:ascii="Times New Roman" w:hAnsi="Times New Roman"/>
          <w:bCs/>
          <w:sz w:val="24"/>
          <w:szCs w:val="24"/>
        </w:rPr>
        <w:t xml:space="preserve">. </w:t>
      </w:r>
    </w:p>
    <w:p w:rsidR="006B4610" w:rsidRDefault="006F591C">
      <w:pPr>
        <w:tabs>
          <w:tab w:val="left" w:pos="4500"/>
        </w:tabs>
        <w:spacing w:after="0" w:line="240" w:lineRule="auto"/>
        <w:ind w:left="720"/>
        <w:jc w:val="both"/>
      </w:pPr>
      <w:r>
        <w:rPr>
          <w:rFonts w:ascii="Times New Roman" w:eastAsia="Times New Roman" w:hAnsi="Times New Roman"/>
          <w:sz w:val="24"/>
          <w:szCs w:val="24"/>
        </w:rPr>
        <w:t xml:space="preserve">Līgums sagatavots latviešu valodā, 2 (divos) eksemplāros, katrs uz </w:t>
      </w:r>
      <w:r>
        <w:rPr>
          <w:rFonts w:ascii="Times New Roman" w:hAnsi="Times New Roman"/>
          <w:sz w:val="24"/>
          <w:szCs w:val="24"/>
        </w:rPr>
        <w:t>15 (piecpadsmit)</w:t>
      </w:r>
      <w:r>
        <w:rPr>
          <w:rFonts w:ascii="Times New Roman" w:eastAsia="Times New Roman" w:hAnsi="Times New Roman"/>
          <w:sz w:val="24"/>
          <w:szCs w:val="24"/>
        </w:rPr>
        <w:t xml:space="preserve"> lapām, t.sk., 1.pielikums uz </w:t>
      </w:r>
      <w:r>
        <w:rPr>
          <w:rFonts w:ascii="Times New Roman" w:hAnsi="Times New Roman"/>
          <w:sz w:val="24"/>
          <w:szCs w:val="24"/>
        </w:rPr>
        <w:t>2 (divām)</w:t>
      </w:r>
      <w:r>
        <w:rPr>
          <w:rFonts w:ascii="Times New Roman" w:eastAsia="Times New Roman" w:hAnsi="Times New Roman"/>
          <w:sz w:val="24"/>
          <w:szCs w:val="24"/>
        </w:rPr>
        <w:t xml:space="preserve"> lapām, 2.pielikums uz </w:t>
      </w:r>
      <w:r>
        <w:rPr>
          <w:rFonts w:ascii="Times New Roman" w:hAnsi="Times New Roman"/>
          <w:sz w:val="24"/>
          <w:szCs w:val="24"/>
        </w:rPr>
        <w:t>2 (divām)</w:t>
      </w:r>
      <w:r>
        <w:rPr>
          <w:rFonts w:ascii="Times New Roman" w:eastAsia="Times New Roman" w:hAnsi="Times New Roman"/>
          <w:sz w:val="24"/>
          <w:szCs w:val="24"/>
        </w:rPr>
        <w:t xml:space="preserve"> lapām, 3.pielikums uz </w:t>
      </w:r>
      <w:r>
        <w:rPr>
          <w:rFonts w:ascii="Times New Roman" w:hAnsi="Times New Roman"/>
          <w:sz w:val="24"/>
          <w:szCs w:val="24"/>
        </w:rPr>
        <w:t>2 (divām)</w:t>
      </w:r>
      <w:r>
        <w:rPr>
          <w:rFonts w:ascii="Times New Roman" w:eastAsia="Times New Roman" w:hAnsi="Times New Roman"/>
          <w:sz w:val="24"/>
          <w:szCs w:val="24"/>
        </w:rPr>
        <w:t xml:space="preserve"> lapām, 4.pielikums uz 2 (lapām) lapām, 5.pielikums uz 2 (divām) lapām ar vienādu juridisku spēku, no kuriem viens eksemplārs glabājas pie </w:t>
      </w:r>
      <w:r>
        <w:rPr>
          <w:rFonts w:ascii="Times New Roman" w:eastAsia="Times New Roman" w:hAnsi="Times New Roman"/>
          <w:b/>
          <w:sz w:val="24"/>
          <w:szCs w:val="24"/>
        </w:rPr>
        <w:t xml:space="preserve">APDROŠINĀJUMA ŅĒMĒJA (MAKSĀTĀJA), </w:t>
      </w:r>
      <w:r>
        <w:rPr>
          <w:rFonts w:ascii="Times New Roman" w:eastAsia="Times New Roman" w:hAnsi="Times New Roman"/>
          <w:sz w:val="24"/>
          <w:szCs w:val="24"/>
        </w:rPr>
        <w:t xml:space="preserve">bet otrs – pie </w:t>
      </w:r>
      <w:r>
        <w:rPr>
          <w:rFonts w:ascii="Times New Roman" w:eastAsia="Times New Roman" w:hAnsi="Times New Roman"/>
          <w:b/>
          <w:sz w:val="24"/>
          <w:szCs w:val="24"/>
        </w:rPr>
        <w:t>APDROŠINĀTĀJA.</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bCs/>
          <w:sz w:val="24"/>
          <w:szCs w:val="24"/>
        </w:rPr>
        <w:t xml:space="preserve">Pēc šī Līguma noslēgšanas, katrs </w:t>
      </w:r>
      <w:r>
        <w:rPr>
          <w:rFonts w:ascii="Times New Roman" w:eastAsia="Times New Roman" w:hAnsi="Times New Roman"/>
          <w:b/>
          <w:bCs/>
          <w:sz w:val="24"/>
          <w:szCs w:val="24"/>
        </w:rPr>
        <w:t xml:space="preserve">APDROŠINĀJUMA ŅĒMĒJS </w:t>
      </w:r>
      <w:r>
        <w:rPr>
          <w:rFonts w:ascii="Times New Roman" w:eastAsia="Times New Roman" w:hAnsi="Times New Roman"/>
          <w:bCs/>
          <w:sz w:val="24"/>
          <w:szCs w:val="24"/>
        </w:rPr>
        <w:t xml:space="preserve">ar </w:t>
      </w:r>
      <w:r>
        <w:rPr>
          <w:rFonts w:ascii="Times New Roman" w:eastAsia="Times New Roman" w:hAnsi="Times New Roman"/>
          <w:b/>
          <w:bCs/>
          <w:sz w:val="24"/>
          <w:szCs w:val="24"/>
        </w:rPr>
        <w:t xml:space="preserve">APDROŠINĀTĀJU </w:t>
      </w:r>
      <w:r>
        <w:rPr>
          <w:rFonts w:ascii="Times New Roman" w:eastAsia="Times New Roman" w:hAnsi="Times New Roman"/>
          <w:bCs/>
          <w:sz w:val="24"/>
          <w:szCs w:val="24"/>
        </w:rPr>
        <w:t>noslēdz Vienošanās Protokolu (Līguma 5.pielikums), kas ir Līguma neatņemama sastāvdaļa.</w:t>
      </w:r>
    </w:p>
    <w:p w:rsidR="006B4610" w:rsidRDefault="006F591C">
      <w:pPr>
        <w:numPr>
          <w:ilvl w:val="1"/>
          <w:numId w:val="7"/>
        </w:numPr>
        <w:tabs>
          <w:tab w:val="left" w:pos="-4320"/>
          <w:tab w:val="left" w:pos="-540"/>
        </w:tabs>
        <w:spacing w:after="0" w:line="240" w:lineRule="auto"/>
        <w:jc w:val="both"/>
      </w:pPr>
      <w:r>
        <w:rPr>
          <w:rFonts w:ascii="Times New Roman" w:eastAsia="Times New Roman" w:hAnsi="Times New Roman"/>
          <w:b/>
          <w:sz w:val="24"/>
          <w:szCs w:val="24"/>
        </w:rPr>
        <w:lastRenderedPageBreak/>
        <w:t>APDROŠINĀJUMA ŅĒMĒJS (MAKSĀTĀJS)</w:t>
      </w:r>
      <w:r>
        <w:rPr>
          <w:rFonts w:ascii="Times New Roman" w:eastAsia="Times New Roman" w:hAnsi="Times New Roman"/>
          <w:sz w:val="24"/>
          <w:szCs w:val="24"/>
        </w:rPr>
        <w:t xml:space="preserve"> un </w:t>
      </w:r>
      <w:r>
        <w:rPr>
          <w:rFonts w:ascii="Times New Roman" w:eastAsia="Times New Roman" w:hAnsi="Times New Roman"/>
          <w:b/>
          <w:sz w:val="24"/>
          <w:szCs w:val="24"/>
        </w:rPr>
        <w:t>APDROŠINĀTĀJS</w:t>
      </w:r>
      <w:r>
        <w:rPr>
          <w:rFonts w:ascii="Times New Roman" w:eastAsia="Times New Roman" w:hAnsi="Times New Roman"/>
          <w:sz w:val="24"/>
          <w:szCs w:val="24"/>
        </w:rPr>
        <w:t xml:space="preserve"> piekrīt Līguma noteikumiem un apstiprina, to parakstot. </w:t>
      </w:r>
    </w:p>
    <w:p w:rsidR="006B4610" w:rsidRDefault="006F591C">
      <w:pPr>
        <w:numPr>
          <w:ilvl w:val="0"/>
          <w:numId w:val="7"/>
        </w:numPr>
        <w:tabs>
          <w:tab w:val="left" w:pos="-2340"/>
          <w:tab w:val="left" w:pos="177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PUŠU REKVIZĪTI UN PARAKSTI</w:t>
      </w:r>
      <w:bookmarkEnd w:id="0"/>
    </w:p>
    <w:tbl>
      <w:tblPr>
        <w:tblW w:w="9783" w:type="dxa"/>
        <w:tblInd w:w="-34" w:type="dxa"/>
        <w:tblCellMar>
          <w:left w:w="10" w:type="dxa"/>
          <w:right w:w="10" w:type="dxa"/>
        </w:tblCellMar>
        <w:tblLook w:val="0000" w:firstRow="0" w:lastRow="0" w:firstColumn="0" w:lastColumn="0" w:noHBand="0" w:noVBand="0"/>
      </w:tblPr>
      <w:tblGrid>
        <w:gridCol w:w="568"/>
        <w:gridCol w:w="4579"/>
        <w:gridCol w:w="4636"/>
      </w:tblGrid>
      <w:tr w:rsidR="006B4610" w:rsidTr="009F5280">
        <w:tblPrEx>
          <w:tblCellMar>
            <w:top w:w="0" w:type="dxa"/>
            <w:bottom w:w="0" w:type="dxa"/>
          </w:tblCellMar>
        </w:tblPrEx>
        <w:trPr>
          <w:gridBefore w:val="1"/>
          <w:wBefore w:w="568" w:type="dxa"/>
        </w:trPr>
        <w:tc>
          <w:tcPr>
            <w:tcW w:w="4579" w:type="dxa"/>
            <w:shd w:val="clear" w:color="auto" w:fill="auto"/>
            <w:tcMar>
              <w:top w:w="0" w:type="dxa"/>
              <w:left w:w="108" w:type="dxa"/>
              <w:bottom w:w="0" w:type="dxa"/>
              <w:right w:w="108" w:type="dxa"/>
            </w:tcMar>
          </w:tcPr>
          <w:p w:rsidR="006B4610" w:rsidRDefault="006F591C">
            <w:pPr>
              <w:spacing w:after="0" w:line="240" w:lineRule="auto"/>
            </w:pPr>
            <w:r>
              <w:rPr>
                <w:rFonts w:ascii="Times New Roman" w:eastAsia="Times New Roman" w:hAnsi="Times New Roman"/>
                <w:b/>
                <w:sz w:val="24"/>
                <w:szCs w:val="24"/>
              </w:rPr>
              <w:t>APDROŠINĀJUMA ŅĒMĒJS (MAKSĀTĀJS):</w:t>
            </w:r>
          </w:p>
        </w:tc>
        <w:tc>
          <w:tcPr>
            <w:tcW w:w="4636" w:type="dxa"/>
            <w:shd w:val="clear" w:color="auto" w:fill="auto"/>
            <w:tcMar>
              <w:top w:w="0" w:type="dxa"/>
              <w:left w:w="108" w:type="dxa"/>
              <w:bottom w:w="0" w:type="dxa"/>
              <w:right w:w="108" w:type="dxa"/>
            </w:tcMar>
          </w:tcPr>
          <w:p w:rsidR="006B4610" w:rsidRDefault="006F591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APDROŠINĀTĀJS:</w:t>
            </w:r>
          </w:p>
        </w:tc>
      </w:tr>
      <w:tr w:rsidR="006B4610" w:rsidTr="009F5280">
        <w:tblPrEx>
          <w:tblCellMar>
            <w:top w:w="0" w:type="dxa"/>
            <w:bottom w:w="0" w:type="dxa"/>
          </w:tblCellMar>
        </w:tblPrEx>
        <w:trPr>
          <w:gridBefore w:val="1"/>
          <w:wBefore w:w="568" w:type="dxa"/>
        </w:trPr>
        <w:tc>
          <w:tcPr>
            <w:tcW w:w="4579" w:type="dxa"/>
            <w:shd w:val="clear" w:color="auto" w:fill="auto"/>
            <w:tcMar>
              <w:top w:w="0" w:type="dxa"/>
              <w:left w:w="108" w:type="dxa"/>
              <w:bottom w:w="0" w:type="dxa"/>
              <w:right w:w="108" w:type="dxa"/>
            </w:tcMar>
          </w:tcPr>
          <w:p w:rsidR="006B4610" w:rsidRDefault="006F591C">
            <w:pPr>
              <w:spacing w:after="0" w:line="240" w:lineRule="auto"/>
              <w:ind w:left="318" w:right="471" w:hanging="318"/>
              <w:jc w:val="both"/>
              <w:rPr>
                <w:rFonts w:ascii="Times New Roman" w:eastAsia="Times New Roman" w:hAnsi="Times New Roman"/>
                <w:b/>
                <w:sz w:val="24"/>
                <w:szCs w:val="24"/>
              </w:rPr>
            </w:pPr>
            <w:r>
              <w:rPr>
                <w:rFonts w:ascii="Times New Roman" w:eastAsia="Times New Roman" w:hAnsi="Times New Roman"/>
                <w:b/>
                <w:sz w:val="24"/>
                <w:szCs w:val="24"/>
              </w:rPr>
              <w:t>Jēkabpils pilsētas pašvaldība</w:t>
            </w:r>
          </w:p>
          <w:p w:rsidR="006B4610" w:rsidRDefault="006F591C">
            <w:pPr>
              <w:spacing w:after="0" w:line="240" w:lineRule="auto"/>
              <w:ind w:left="318" w:hanging="318"/>
              <w:jc w:val="both"/>
              <w:rPr>
                <w:rFonts w:ascii="Times New Roman" w:eastAsia="Times New Roman" w:hAnsi="Times New Roman"/>
                <w:iCs/>
                <w:sz w:val="24"/>
                <w:szCs w:val="24"/>
              </w:rPr>
            </w:pPr>
            <w:r>
              <w:rPr>
                <w:rFonts w:ascii="Times New Roman" w:eastAsia="Times New Roman" w:hAnsi="Times New Roman"/>
                <w:iCs/>
                <w:sz w:val="24"/>
                <w:szCs w:val="24"/>
              </w:rPr>
              <w:t>Juridiskā adrese: Brīvības iela 120,</w:t>
            </w:r>
          </w:p>
          <w:p w:rsidR="006B4610" w:rsidRDefault="006F591C">
            <w:pPr>
              <w:spacing w:after="0" w:line="240" w:lineRule="auto"/>
              <w:ind w:left="318" w:hanging="318"/>
              <w:jc w:val="both"/>
            </w:pPr>
            <w:r>
              <w:rPr>
                <w:rFonts w:ascii="Times New Roman" w:eastAsia="Times New Roman" w:hAnsi="Times New Roman"/>
                <w:iCs/>
                <w:sz w:val="24"/>
                <w:szCs w:val="24"/>
              </w:rPr>
              <w:t>Jēkabpils,</w:t>
            </w:r>
            <w:r>
              <w:rPr>
                <w:rFonts w:ascii="Times New Roman" w:eastAsia="Times New Roman" w:hAnsi="Times New Roman"/>
                <w:sz w:val="24"/>
                <w:szCs w:val="24"/>
              </w:rPr>
              <w:t xml:space="preserve"> LV-5201</w:t>
            </w:r>
          </w:p>
          <w:p w:rsidR="006B4610" w:rsidRDefault="006F591C">
            <w:pPr>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Reģ.Nr. 90000024205</w:t>
            </w:r>
          </w:p>
          <w:p w:rsidR="006B4610" w:rsidRDefault="006F591C">
            <w:pPr>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PVN Reģ.Nr. LV90000024205</w:t>
            </w:r>
          </w:p>
          <w:p w:rsidR="006B4610" w:rsidRDefault="006B4610">
            <w:pPr>
              <w:spacing w:after="0" w:line="240" w:lineRule="auto"/>
              <w:ind w:left="318" w:hanging="318"/>
              <w:jc w:val="both"/>
              <w:rPr>
                <w:rFonts w:ascii="Times New Roman" w:eastAsia="Times New Roman" w:hAnsi="Times New Roman"/>
                <w:sz w:val="24"/>
                <w:szCs w:val="24"/>
              </w:rPr>
            </w:pPr>
          </w:p>
          <w:p w:rsidR="006B4610" w:rsidRDefault="006B4610">
            <w:pPr>
              <w:spacing w:after="0" w:line="240" w:lineRule="auto"/>
              <w:rPr>
                <w:rFonts w:ascii="Times New Roman" w:eastAsia="Times New Roman" w:hAnsi="Times New Roman"/>
                <w:sz w:val="24"/>
                <w:szCs w:val="24"/>
              </w:rPr>
            </w:pPr>
          </w:p>
          <w:p w:rsidR="006B4610" w:rsidRDefault="006F591C">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 AS SEB banka</w:t>
            </w:r>
          </w:p>
          <w:p w:rsidR="006B4610" w:rsidRDefault="006F591C">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Bankas kods: UNLALV2X</w:t>
            </w:r>
          </w:p>
          <w:p w:rsidR="006B4610" w:rsidRDefault="006F591C">
            <w:pPr>
              <w:spacing w:after="0" w:line="240" w:lineRule="auto"/>
              <w:ind w:left="318" w:right="471" w:hanging="318"/>
              <w:jc w:val="both"/>
              <w:rPr>
                <w:rFonts w:ascii="Times New Roman" w:eastAsia="Times New Roman" w:hAnsi="Times New Roman"/>
                <w:sz w:val="24"/>
                <w:szCs w:val="24"/>
              </w:rPr>
            </w:pPr>
            <w:r>
              <w:rPr>
                <w:rFonts w:ascii="Times New Roman" w:eastAsia="Times New Roman" w:hAnsi="Times New Roman"/>
                <w:sz w:val="24"/>
                <w:szCs w:val="24"/>
              </w:rPr>
              <w:t>Konta Nr.: LV87UNLA0009013130793</w:t>
            </w:r>
          </w:p>
        </w:tc>
        <w:tc>
          <w:tcPr>
            <w:tcW w:w="4636" w:type="dxa"/>
            <w:shd w:val="clear" w:color="auto" w:fill="auto"/>
            <w:tcMar>
              <w:top w:w="0" w:type="dxa"/>
              <w:left w:w="108" w:type="dxa"/>
              <w:bottom w:w="0" w:type="dxa"/>
              <w:right w:w="108" w:type="dxa"/>
            </w:tcMar>
          </w:tcPr>
          <w:p w:rsidR="006B4610" w:rsidRDefault="006F591C">
            <w:pPr>
              <w:spacing w:after="0" w:line="240" w:lineRule="auto"/>
              <w:ind w:left="318" w:right="471" w:hanging="318"/>
              <w:jc w:val="both"/>
              <w:rPr>
                <w:rFonts w:ascii="Times New Roman" w:eastAsia="Times New Roman" w:hAnsi="Times New Roman"/>
                <w:b/>
                <w:sz w:val="24"/>
                <w:szCs w:val="24"/>
              </w:rPr>
            </w:pPr>
            <w:r>
              <w:rPr>
                <w:rFonts w:ascii="Times New Roman" w:eastAsia="Times New Roman" w:hAnsi="Times New Roman"/>
                <w:b/>
                <w:sz w:val="24"/>
                <w:szCs w:val="24"/>
              </w:rPr>
              <w:t>AAS „Gjensidige Baltic”</w:t>
            </w:r>
          </w:p>
          <w:p w:rsidR="006B4610" w:rsidRDefault="006F591C">
            <w:pPr>
              <w:spacing w:after="0" w:line="240" w:lineRule="auto"/>
              <w:ind w:left="318" w:hanging="318"/>
              <w:jc w:val="both"/>
              <w:rPr>
                <w:rFonts w:ascii="Times New Roman" w:eastAsia="Times New Roman" w:hAnsi="Times New Roman"/>
                <w:i/>
                <w:sz w:val="24"/>
                <w:szCs w:val="24"/>
              </w:rPr>
            </w:pPr>
            <w:r>
              <w:rPr>
                <w:rFonts w:ascii="Times New Roman" w:eastAsia="Times New Roman" w:hAnsi="Times New Roman"/>
                <w:i/>
                <w:sz w:val="24"/>
                <w:szCs w:val="24"/>
              </w:rPr>
              <w:t>Juridiskā adrese: Brīvības iela 39</w:t>
            </w:r>
          </w:p>
          <w:p w:rsidR="006B4610" w:rsidRDefault="006F591C">
            <w:pPr>
              <w:spacing w:after="0" w:line="240" w:lineRule="auto"/>
              <w:ind w:left="318" w:hanging="318"/>
              <w:jc w:val="both"/>
              <w:rPr>
                <w:rFonts w:ascii="Times New Roman" w:eastAsia="Times New Roman" w:hAnsi="Times New Roman"/>
                <w:i/>
                <w:sz w:val="24"/>
                <w:szCs w:val="24"/>
              </w:rPr>
            </w:pPr>
            <w:r>
              <w:rPr>
                <w:rFonts w:ascii="Times New Roman" w:eastAsia="Times New Roman" w:hAnsi="Times New Roman"/>
                <w:i/>
                <w:sz w:val="24"/>
                <w:szCs w:val="24"/>
              </w:rPr>
              <w:t>Rīga, LV-1010</w:t>
            </w:r>
          </w:p>
          <w:p w:rsidR="006B4610" w:rsidRDefault="006F591C">
            <w:pPr>
              <w:spacing w:after="0" w:line="240" w:lineRule="auto"/>
              <w:ind w:left="318" w:hanging="318"/>
              <w:jc w:val="both"/>
              <w:rPr>
                <w:rFonts w:ascii="Times New Roman" w:eastAsia="Times New Roman" w:hAnsi="Times New Roman"/>
                <w:i/>
                <w:sz w:val="24"/>
                <w:szCs w:val="24"/>
              </w:rPr>
            </w:pPr>
            <w:r>
              <w:rPr>
                <w:rFonts w:ascii="Times New Roman" w:eastAsia="Times New Roman" w:hAnsi="Times New Roman"/>
                <w:i/>
                <w:sz w:val="24"/>
                <w:szCs w:val="24"/>
              </w:rPr>
              <w:t xml:space="preserve">Biroja adrese: A.Pormaļa iela 3 </w:t>
            </w:r>
          </w:p>
          <w:p w:rsidR="006B4610" w:rsidRDefault="006F591C">
            <w:pPr>
              <w:spacing w:after="0" w:line="240" w:lineRule="auto"/>
              <w:ind w:left="318" w:hanging="318"/>
              <w:jc w:val="both"/>
              <w:rPr>
                <w:rFonts w:ascii="Times New Roman" w:eastAsia="Times New Roman" w:hAnsi="Times New Roman"/>
                <w:i/>
                <w:sz w:val="24"/>
                <w:szCs w:val="24"/>
              </w:rPr>
            </w:pPr>
            <w:r>
              <w:rPr>
                <w:rFonts w:ascii="Times New Roman" w:eastAsia="Times New Roman" w:hAnsi="Times New Roman"/>
                <w:i/>
                <w:sz w:val="24"/>
                <w:szCs w:val="24"/>
              </w:rPr>
              <w:t>Jēkabpils, LV-5201</w:t>
            </w:r>
          </w:p>
          <w:p w:rsidR="006B4610" w:rsidRDefault="006F591C">
            <w:pPr>
              <w:spacing w:after="0" w:line="240" w:lineRule="auto"/>
              <w:ind w:left="318" w:hanging="318"/>
              <w:rPr>
                <w:rFonts w:ascii="Times New Roman" w:eastAsia="Times New Roman" w:hAnsi="Times New Roman"/>
                <w:i/>
                <w:sz w:val="24"/>
                <w:szCs w:val="24"/>
              </w:rPr>
            </w:pPr>
            <w:r>
              <w:rPr>
                <w:rFonts w:ascii="Times New Roman" w:eastAsia="Times New Roman" w:hAnsi="Times New Roman"/>
                <w:i/>
                <w:sz w:val="24"/>
                <w:szCs w:val="24"/>
              </w:rPr>
              <w:t>Vienot. Reģ.Nr. 50003210451</w:t>
            </w:r>
          </w:p>
          <w:p w:rsidR="006B4610" w:rsidRDefault="006F591C">
            <w:pPr>
              <w:spacing w:after="0" w:line="240" w:lineRule="auto"/>
              <w:ind w:left="318" w:hanging="318"/>
              <w:rPr>
                <w:rFonts w:ascii="Times New Roman" w:eastAsia="Times New Roman" w:hAnsi="Times New Roman"/>
                <w:i/>
                <w:sz w:val="24"/>
                <w:szCs w:val="24"/>
              </w:rPr>
            </w:pPr>
            <w:r>
              <w:rPr>
                <w:rFonts w:ascii="Times New Roman" w:eastAsia="Times New Roman" w:hAnsi="Times New Roman"/>
                <w:i/>
                <w:sz w:val="24"/>
                <w:szCs w:val="24"/>
              </w:rPr>
              <w:t>PVN Reģ.Nr.LV50003210451</w:t>
            </w:r>
          </w:p>
          <w:p w:rsidR="006B4610" w:rsidRDefault="006F591C">
            <w:pPr>
              <w:spacing w:after="0" w:line="240" w:lineRule="auto"/>
              <w:ind w:left="318" w:right="471" w:hanging="318"/>
              <w:jc w:val="both"/>
              <w:rPr>
                <w:rFonts w:ascii="Times New Roman" w:eastAsia="Times New Roman" w:hAnsi="Times New Roman"/>
                <w:i/>
                <w:sz w:val="24"/>
                <w:szCs w:val="24"/>
              </w:rPr>
            </w:pPr>
            <w:r>
              <w:rPr>
                <w:rFonts w:ascii="Times New Roman" w:eastAsia="Times New Roman" w:hAnsi="Times New Roman"/>
                <w:i/>
                <w:sz w:val="24"/>
                <w:szCs w:val="24"/>
              </w:rPr>
              <w:t>Banka: AS CITADELE banka</w:t>
            </w:r>
          </w:p>
          <w:p w:rsidR="006B4610" w:rsidRDefault="006F591C">
            <w:pPr>
              <w:spacing w:after="0" w:line="240" w:lineRule="auto"/>
              <w:ind w:left="318" w:hanging="318"/>
              <w:jc w:val="both"/>
              <w:rPr>
                <w:rFonts w:ascii="Times New Roman" w:eastAsia="Times New Roman" w:hAnsi="Times New Roman"/>
                <w:i/>
                <w:sz w:val="24"/>
                <w:szCs w:val="24"/>
              </w:rPr>
            </w:pPr>
            <w:r>
              <w:rPr>
                <w:rFonts w:ascii="Times New Roman" w:eastAsia="Times New Roman" w:hAnsi="Times New Roman"/>
                <w:i/>
                <w:sz w:val="24"/>
                <w:szCs w:val="24"/>
              </w:rPr>
              <w:t>Bankas kods: PARXLV22</w:t>
            </w:r>
          </w:p>
          <w:p w:rsidR="006B4610" w:rsidRDefault="006F591C">
            <w:pPr>
              <w:tabs>
                <w:tab w:val="left" w:pos="720"/>
                <w:tab w:val="center" w:pos="4153"/>
                <w:tab w:val="right" w:pos="8306"/>
              </w:tabs>
              <w:spacing w:after="0" w:line="240" w:lineRule="auto"/>
              <w:ind w:left="318" w:hanging="318"/>
              <w:rPr>
                <w:rFonts w:ascii="Times New Roman" w:eastAsia="Times New Roman" w:hAnsi="Times New Roman"/>
                <w:i/>
                <w:sz w:val="24"/>
                <w:szCs w:val="24"/>
              </w:rPr>
            </w:pPr>
            <w:r>
              <w:rPr>
                <w:rFonts w:ascii="Times New Roman" w:eastAsia="Times New Roman" w:hAnsi="Times New Roman"/>
                <w:i/>
                <w:sz w:val="24"/>
                <w:szCs w:val="24"/>
              </w:rPr>
              <w:t>Konta Nr.: LV79PARX0000572381021</w:t>
            </w:r>
          </w:p>
          <w:p w:rsidR="006B4610" w:rsidRDefault="006B4610">
            <w:pPr>
              <w:spacing w:after="0" w:line="240" w:lineRule="auto"/>
              <w:ind w:left="318" w:hanging="318"/>
              <w:jc w:val="both"/>
              <w:rPr>
                <w:rFonts w:ascii="Times New Roman" w:eastAsia="Times New Roman" w:hAnsi="Times New Roman"/>
                <w:sz w:val="24"/>
                <w:szCs w:val="24"/>
              </w:rPr>
            </w:pPr>
          </w:p>
        </w:tc>
      </w:tr>
      <w:tr w:rsidR="006B4610" w:rsidTr="009F5280">
        <w:tblPrEx>
          <w:tblCellMar>
            <w:top w:w="0" w:type="dxa"/>
            <w:bottom w:w="0" w:type="dxa"/>
          </w:tblCellMar>
        </w:tblPrEx>
        <w:trPr>
          <w:gridBefore w:val="1"/>
          <w:wBefore w:w="568" w:type="dxa"/>
        </w:trPr>
        <w:tc>
          <w:tcPr>
            <w:tcW w:w="4579" w:type="dxa"/>
            <w:shd w:val="clear" w:color="auto" w:fill="auto"/>
            <w:tcMar>
              <w:top w:w="0" w:type="dxa"/>
              <w:left w:w="108" w:type="dxa"/>
              <w:bottom w:w="0" w:type="dxa"/>
              <w:right w:w="108" w:type="dxa"/>
            </w:tcMar>
          </w:tcPr>
          <w:p w:rsidR="006B4610" w:rsidRDefault="006F591C">
            <w:pPr>
              <w:spacing w:after="0" w:line="240" w:lineRule="auto"/>
              <w:ind w:left="318" w:hanging="318"/>
              <w:rPr>
                <w:rFonts w:ascii="Times New Roman" w:eastAsia="Times New Roman" w:hAnsi="Times New Roman"/>
                <w:sz w:val="24"/>
                <w:szCs w:val="24"/>
              </w:rPr>
            </w:pPr>
            <w:r>
              <w:rPr>
                <w:rFonts w:ascii="Times New Roman" w:eastAsia="Times New Roman" w:hAnsi="Times New Roman"/>
                <w:sz w:val="24"/>
                <w:szCs w:val="24"/>
              </w:rPr>
              <w:t xml:space="preserve">Domes priekšsēdētāja vietnieks </w:t>
            </w:r>
          </w:p>
          <w:p w:rsidR="006B4610" w:rsidRDefault="006F591C">
            <w:pPr>
              <w:spacing w:after="0" w:line="240" w:lineRule="auto"/>
              <w:ind w:left="318" w:hanging="318"/>
              <w:rPr>
                <w:rFonts w:ascii="Times New Roman" w:eastAsia="Times New Roman" w:hAnsi="Times New Roman"/>
                <w:sz w:val="24"/>
                <w:szCs w:val="24"/>
              </w:rPr>
            </w:pPr>
            <w:r>
              <w:rPr>
                <w:rFonts w:ascii="Times New Roman" w:eastAsia="Times New Roman" w:hAnsi="Times New Roman"/>
                <w:sz w:val="24"/>
                <w:szCs w:val="24"/>
              </w:rPr>
              <w:t>sociālos jautājumos</w:t>
            </w:r>
          </w:p>
          <w:p w:rsidR="006B4610" w:rsidRDefault="006B4610">
            <w:pPr>
              <w:spacing w:after="0" w:line="240" w:lineRule="auto"/>
              <w:ind w:left="318" w:hanging="318"/>
              <w:rPr>
                <w:rFonts w:ascii="Times New Roman" w:eastAsia="Times New Roman" w:hAnsi="Times New Roman"/>
                <w:sz w:val="24"/>
                <w:szCs w:val="24"/>
              </w:rPr>
            </w:pPr>
          </w:p>
          <w:p w:rsidR="006B4610" w:rsidRDefault="006F591C">
            <w:pPr>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______________________________</w:t>
            </w:r>
          </w:p>
          <w:p w:rsidR="006B4610" w:rsidRDefault="006F591C">
            <w:pPr>
              <w:spacing w:after="0" w:line="240" w:lineRule="auto"/>
              <w:ind w:left="318" w:hanging="318"/>
              <w:rPr>
                <w:rFonts w:ascii="Times New Roman" w:eastAsia="Times New Roman" w:hAnsi="Times New Roman"/>
                <w:sz w:val="24"/>
                <w:szCs w:val="24"/>
              </w:rPr>
            </w:pPr>
            <w:r>
              <w:rPr>
                <w:rFonts w:ascii="Times New Roman" w:eastAsia="Times New Roman" w:hAnsi="Times New Roman"/>
                <w:sz w:val="24"/>
                <w:szCs w:val="24"/>
              </w:rPr>
              <w:t>/J.Raščevskis/</w:t>
            </w:r>
          </w:p>
          <w:p w:rsidR="006B4610" w:rsidRDefault="006B4610">
            <w:pPr>
              <w:spacing w:after="0" w:line="240" w:lineRule="auto"/>
              <w:ind w:left="318" w:hanging="318"/>
              <w:rPr>
                <w:rFonts w:ascii="Times New Roman" w:eastAsia="Times New Roman" w:hAnsi="Times New Roman"/>
                <w:sz w:val="24"/>
                <w:szCs w:val="24"/>
              </w:rPr>
            </w:pPr>
          </w:p>
        </w:tc>
        <w:tc>
          <w:tcPr>
            <w:tcW w:w="4636" w:type="dxa"/>
            <w:shd w:val="clear" w:color="auto" w:fill="auto"/>
            <w:tcMar>
              <w:top w:w="0" w:type="dxa"/>
              <w:left w:w="108" w:type="dxa"/>
              <w:bottom w:w="0" w:type="dxa"/>
              <w:right w:w="108" w:type="dxa"/>
            </w:tcMar>
          </w:tcPr>
          <w:p w:rsidR="006B4610" w:rsidRDefault="006F591C">
            <w:pPr>
              <w:spacing w:after="0" w:line="240" w:lineRule="auto"/>
              <w:ind w:left="318" w:hanging="318"/>
              <w:jc w:val="both"/>
            </w:pPr>
            <w:r>
              <w:rPr>
                <w:rFonts w:ascii="Times New Roman" w:hAnsi="Times New Roman"/>
                <w:bCs/>
                <w:sz w:val="24"/>
                <w:szCs w:val="24"/>
              </w:rPr>
              <w:t>Jēkabpils filiāles vadītāja</w:t>
            </w:r>
            <w:r>
              <w:rPr>
                <w:rFonts w:ascii="Times New Roman" w:eastAsia="Times New Roman" w:hAnsi="Times New Roman"/>
                <w:sz w:val="24"/>
                <w:szCs w:val="24"/>
              </w:rPr>
              <w:t xml:space="preserve"> </w:t>
            </w:r>
          </w:p>
          <w:p w:rsidR="006B4610" w:rsidRDefault="006B4610">
            <w:pPr>
              <w:spacing w:after="0" w:line="240" w:lineRule="auto"/>
              <w:ind w:left="318" w:hanging="318"/>
              <w:jc w:val="both"/>
              <w:rPr>
                <w:rFonts w:ascii="Times New Roman" w:eastAsia="Times New Roman" w:hAnsi="Times New Roman"/>
                <w:b/>
                <w:sz w:val="24"/>
                <w:szCs w:val="24"/>
              </w:rPr>
            </w:pPr>
          </w:p>
          <w:p w:rsidR="006B4610" w:rsidRDefault="006B4610">
            <w:pPr>
              <w:spacing w:after="0" w:line="240" w:lineRule="auto"/>
              <w:ind w:left="318" w:hanging="318"/>
              <w:jc w:val="both"/>
              <w:rPr>
                <w:rFonts w:ascii="Times New Roman" w:eastAsia="Times New Roman" w:hAnsi="Times New Roman"/>
                <w:b/>
                <w:sz w:val="24"/>
                <w:szCs w:val="24"/>
              </w:rPr>
            </w:pPr>
          </w:p>
          <w:p w:rsidR="006B4610" w:rsidRDefault="006F591C">
            <w:pPr>
              <w:spacing w:after="0" w:line="240" w:lineRule="auto"/>
              <w:ind w:left="318" w:hanging="318"/>
              <w:jc w:val="both"/>
              <w:rPr>
                <w:rFonts w:ascii="Times New Roman" w:eastAsia="Times New Roman" w:hAnsi="Times New Roman"/>
                <w:b/>
                <w:sz w:val="24"/>
                <w:szCs w:val="24"/>
              </w:rPr>
            </w:pPr>
            <w:r>
              <w:rPr>
                <w:rFonts w:ascii="Times New Roman" w:eastAsia="Times New Roman" w:hAnsi="Times New Roman"/>
                <w:b/>
                <w:sz w:val="24"/>
                <w:szCs w:val="24"/>
              </w:rPr>
              <w:t>______________________________</w:t>
            </w:r>
          </w:p>
          <w:p w:rsidR="006B4610" w:rsidRDefault="006F591C">
            <w:pPr>
              <w:spacing w:after="0" w:line="240" w:lineRule="auto"/>
              <w:ind w:left="318" w:hanging="318"/>
              <w:rPr>
                <w:rFonts w:ascii="Times New Roman" w:eastAsia="Times New Roman" w:hAnsi="Times New Roman"/>
                <w:sz w:val="24"/>
                <w:szCs w:val="24"/>
              </w:rPr>
            </w:pPr>
            <w:r>
              <w:rPr>
                <w:rFonts w:ascii="Times New Roman" w:eastAsia="Times New Roman" w:hAnsi="Times New Roman"/>
                <w:sz w:val="24"/>
                <w:szCs w:val="24"/>
              </w:rPr>
              <w:t>/A.Krūmiņa/</w:t>
            </w:r>
          </w:p>
        </w:tc>
      </w:tr>
      <w:tr w:rsidR="006B4610" w:rsidTr="009F5280">
        <w:tblPrEx>
          <w:tblCellMar>
            <w:top w:w="0" w:type="dxa"/>
            <w:bottom w:w="0" w:type="dxa"/>
          </w:tblCellMar>
        </w:tblPrEx>
        <w:tc>
          <w:tcPr>
            <w:tcW w:w="568" w:type="dxa"/>
            <w:shd w:val="clear" w:color="auto" w:fill="auto"/>
            <w:tcMar>
              <w:top w:w="0" w:type="dxa"/>
              <w:left w:w="10" w:type="dxa"/>
              <w:bottom w:w="0" w:type="dxa"/>
              <w:right w:w="10" w:type="dxa"/>
            </w:tcMar>
          </w:tcPr>
          <w:p w:rsidR="006B4610" w:rsidRDefault="006B4610" w:rsidP="009F5280">
            <w:pPr>
              <w:suppressAutoHyphens w:val="0"/>
              <w:autoSpaceDN/>
              <w:spacing w:after="0" w:line="240" w:lineRule="auto"/>
              <w:textAlignment w:val="auto"/>
              <w:rPr>
                <w:rFonts w:ascii="Times New Roman" w:eastAsia="Times New Roman" w:hAnsi="Times New Roman"/>
                <w:sz w:val="24"/>
                <w:szCs w:val="24"/>
              </w:rPr>
            </w:pPr>
          </w:p>
        </w:tc>
        <w:tc>
          <w:tcPr>
            <w:tcW w:w="4579" w:type="dxa"/>
            <w:shd w:val="clear" w:color="auto" w:fill="auto"/>
            <w:tcMar>
              <w:top w:w="0" w:type="dxa"/>
              <w:left w:w="108" w:type="dxa"/>
              <w:bottom w:w="0" w:type="dxa"/>
              <w:right w:w="108" w:type="dxa"/>
            </w:tcMar>
          </w:tcPr>
          <w:p w:rsidR="006B4610" w:rsidRDefault="006B4610">
            <w:pPr>
              <w:spacing w:after="0" w:line="240" w:lineRule="auto"/>
              <w:rPr>
                <w:rFonts w:ascii="Times New Roman" w:eastAsia="Times New Roman" w:hAnsi="Times New Roman"/>
                <w:sz w:val="24"/>
                <w:szCs w:val="24"/>
              </w:rPr>
            </w:pPr>
          </w:p>
        </w:tc>
        <w:tc>
          <w:tcPr>
            <w:tcW w:w="4636" w:type="dxa"/>
            <w:shd w:val="clear" w:color="auto" w:fill="auto"/>
            <w:tcMar>
              <w:top w:w="0" w:type="dxa"/>
              <w:left w:w="108" w:type="dxa"/>
              <w:bottom w:w="0" w:type="dxa"/>
              <w:right w:w="108" w:type="dxa"/>
            </w:tcMar>
          </w:tcPr>
          <w:p w:rsidR="006B4610" w:rsidRDefault="006B4610">
            <w:pPr>
              <w:spacing w:after="0" w:line="240" w:lineRule="auto"/>
              <w:jc w:val="both"/>
              <w:rPr>
                <w:rFonts w:ascii="Times New Roman" w:eastAsia="Times New Roman" w:hAnsi="Times New Roman"/>
                <w:b/>
                <w:sz w:val="24"/>
                <w:szCs w:val="24"/>
              </w:rPr>
            </w:pPr>
          </w:p>
        </w:tc>
      </w:tr>
      <w:tr w:rsidR="006B4610" w:rsidTr="009F5280">
        <w:tblPrEx>
          <w:tblCellMar>
            <w:top w:w="0" w:type="dxa"/>
            <w:bottom w:w="0" w:type="dxa"/>
          </w:tblCellMar>
        </w:tblPrEx>
        <w:trPr>
          <w:trHeight w:val="142"/>
        </w:trPr>
        <w:tc>
          <w:tcPr>
            <w:tcW w:w="568" w:type="dxa"/>
            <w:shd w:val="clear" w:color="auto" w:fill="auto"/>
            <w:tcMar>
              <w:top w:w="0" w:type="dxa"/>
              <w:left w:w="10" w:type="dxa"/>
              <w:bottom w:w="0" w:type="dxa"/>
              <w:right w:w="10" w:type="dxa"/>
            </w:tcMar>
          </w:tcPr>
          <w:p w:rsidR="006B4610" w:rsidRDefault="006B4610">
            <w:pPr>
              <w:spacing w:after="0" w:line="240" w:lineRule="auto"/>
              <w:ind w:left="318" w:right="471" w:hanging="318"/>
              <w:jc w:val="both"/>
              <w:rPr>
                <w:rFonts w:ascii="Times New Roman" w:eastAsia="Times New Roman" w:hAnsi="Times New Roman"/>
                <w:b/>
                <w:sz w:val="24"/>
                <w:szCs w:val="24"/>
              </w:rPr>
            </w:pPr>
          </w:p>
        </w:tc>
        <w:tc>
          <w:tcPr>
            <w:tcW w:w="4579" w:type="dxa"/>
            <w:shd w:val="clear" w:color="auto" w:fill="auto"/>
            <w:tcMar>
              <w:top w:w="0" w:type="dxa"/>
              <w:left w:w="108" w:type="dxa"/>
              <w:bottom w:w="0" w:type="dxa"/>
              <w:right w:w="108" w:type="dxa"/>
            </w:tcMar>
          </w:tcPr>
          <w:p w:rsidR="006B4610" w:rsidRDefault="006B4610">
            <w:pPr>
              <w:spacing w:after="0" w:line="240" w:lineRule="auto"/>
              <w:ind w:left="318" w:right="471" w:hanging="318"/>
              <w:jc w:val="both"/>
              <w:rPr>
                <w:rFonts w:ascii="Times New Roman" w:eastAsia="Times New Roman" w:hAnsi="Times New Roman"/>
                <w:b/>
                <w:sz w:val="24"/>
                <w:szCs w:val="24"/>
              </w:rPr>
            </w:pPr>
          </w:p>
        </w:tc>
        <w:tc>
          <w:tcPr>
            <w:tcW w:w="4636" w:type="dxa"/>
            <w:shd w:val="clear" w:color="auto" w:fill="auto"/>
            <w:tcMar>
              <w:top w:w="0" w:type="dxa"/>
              <w:left w:w="108" w:type="dxa"/>
              <w:bottom w:w="0" w:type="dxa"/>
              <w:right w:w="108" w:type="dxa"/>
            </w:tcMar>
          </w:tcPr>
          <w:p w:rsidR="006B4610" w:rsidRDefault="006B4610">
            <w:pPr>
              <w:spacing w:after="0" w:line="240" w:lineRule="auto"/>
              <w:ind w:left="318" w:right="471" w:hanging="318"/>
              <w:jc w:val="both"/>
              <w:rPr>
                <w:rFonts w:ascii="Times New Roman" w:eastAsia="Times New Roman" w:hAnsi="Times New Roman"/>
                <w:b/>
                <w:sz w:val="24"/>
                <w:szCs w:val="24"/>
              </w:rPr>
            </w:pPr>
          </w:p>
        </w:tc>
      </w:tr>
    </w:tbl>
    <w:p w:rsidR="006B4610" w:rsidRDefault="006B4610">
      <w:pPr>
        <w:spacing w:after="0" w:line="240" w:lineRule="auto"/>
        <w:rPr>
          <w:rFonts w:ascii="Times New Roman" w:eastAsia="Times New Roman" w:hAnsi="Times New Roman"/>
          <w:b/>
          <w:sz w:val="24"/>
          <w:szCs w:val="24"/>
        </w:rPr>
      </w:pPr>
      <w:bookmarkStart w:id="1" w:name="_GoBack"/>
      <w:bookmarkEnd w:id="1"/>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pPr>
        <w:spacing w:after="0" w:line="240" w:lineRule="auto"/>
        <w:rPr>
          <w:rFonts w:ascii="Times New Roman" w:eastAsia="Times New Roman" w:hAnsi="Times New Roman"/>
          <w:b/>
          <w:sz w:val="24"/>
          <w:szCs w:val="24"/>
        </w:rPr>
      </w:pPr>
    </w:p>
    <w:p w:rsidR="006B4610" w:rsidRDefault="006B4610"/>
    <w:sectPr w:rsidR="006B4610">
      <w:footerReference w:type="default" r:id="rId9"/>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18" w:rsidRDefault="009F7118">
      <w:pPr>
        <w:spacing w:after="0" w:line="240" w:lineRule="auto"/>
      </w:pPr>
      <w:r>
        <w:separator/>
      </w:r>
    </w:p>
  </w:endnote>
  <w:endnote w:type="continuationSeparator" w:id="0">
    <w:p w:rsidR="009F7118" w:rsidRDefault="009F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C" w:rsidRDefault="006F591C">
    <w:pPr>
      <w:pStyle w:val="Footer"/>
      <w:jc w:val="right"/>
    </w:pPr>
    <w:r>
      <w:fldChar w:fldCharType="begin"/>
    </w:r>
    <w:r>
      <w:instrText xml:space="preserve"> PAGE </w:instrText>
    </w:r>
    <w:r>
      <w:fldChar w:fldCharType="separate"/>
    </w:r>
    <w:r w:rsidR="009F5280">
      <w:rPr>
        <w:noProof/>
      </w:rPr>
      <w:t>5</w:t>
    </w:r>
    <w:r>
      <w:fldChar w:fldCharType="end"/>
    </w:r>
  </w:p>
  <w:p w:rsidR="006F591C" w:rsidRDefault="006F5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18" w:rsidRDefault="009F7118">
      <w:pPr>
        <w:spacing w:after="0" w:line="240" w:lineRule="auto"/>
      </w:pPr>
      <w:r>
        <w:rPr>
          <w:color w:val="000000"/>
        </w:rPr>
        <w:separator/>
      </w:r>
    </w:p>
  </w:footnote>
  <w:footnote w:type="continuationSeparator" w:id="0">
    <w:p w:rsidR="009F7118" w:rsidRDefault="009F7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59A2"/>
    <w:multiLevelType w:val="multilevel"/>
    <w:tmpl w:val="B812294E"/>
    <w:lvl w:ilvl="0">
      <w:start w:val="4"/>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A0A16E8"/>
    <w:multiLevelType w:val="multilevel"/>
    <w:tmpl w:val="E994728E"/>
    <w:lvl w:ilvl="0">
      <w:start w:val="2"/>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F3018F6"/>
    <w:multiLevelType w:val="multilevel"/>
    <w:tmpl w:val="820452A6"/>
    <w:lvl w:ilvl="0">
      <w:start w:val="3"/>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86B4DBF"/>
    <w:multiLevelType w:val="multilevel"/>
    <w:tmpl w:val="C3BA735A"/>
    <w:lvl w:ilvl="0">
      <w:start w:val="1"/>
      <w:numFmt w:val="decimal"/>
      <w:lvlText w:val="%1."/>
      <w:lvlJc w:val="left"/>
      <w:pPr>
        <w:ind w:left="720" w:hanging="360"/>
      </w:pPr>
    </w:lvl>
    <w:lvl w:ilvl="1">
      <w:start w:val="1"/>
      <w:numFmt w:val="decimal"/>
      <w:lvlText w:val="%1.%2."/>
      <w:lvlJc w:val="left"/>
      <w:pPr>
        <w:ind w:left="57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3E1C7970"/>
    <w:multiLevelType w:val="multilevel"/>
    <w:tmpl w:val="0C1E4D58"/>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2AA15EA"/>
    <w:multiLevelType w:val="multilevel"/>
    <w:tmpl w:val="D48219B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FC351B9"/>
    <w:multiLevelType w:val="multilevel"/>
    <w:tmpl w:val="C7CEC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6A03093"/>
    <w:multiLevelType w:val="multilevel"/>
    <w:tmpl w:val="83A25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num>
  <w:num w:numId="3">
    <w:abstractNumId w:val="1"/>
  </w:num>
  <w:num w:numId="4">
    <w:abstractNumId w:val="1"/>
    <w:lvlOverride w:ilvl="0">
      <w:startOverride w:val="1"/>
    </w:lvlOverride>
    <w:lvlOverride w:ilvl="1">
      <w:startOverride w:val="1"/>
    </w:lvlOverride>
  </w:num>
  <w:num w:numId="5">
    <w:abstractNumId w:val="2"/>
  </w:num>
  <w:num w:numId="6">
    <w:abstractNumId w:val="2"/>
    <w:lvlOverride w:ilvl="0">
      <w:startOverride w:val="1"/>
    </w:lvlOverride>
    <w:lvlOverride w:ilvl="1">
      <w:startOverride w:val="1"/>
    </w:lvlOverride>
  </w:num>
  <w:num w:numId="7">
    <w:abstractNumId w:val="0"/>
  </w:num>
  <w:num w:numId="8">
    <w:abstractNumId w:val="0"/>
    <w:lvlOverride w:ilvl="0">
      <w:startOverride w:val="1"/>
    </w:lvlOverride>
    <w:lvlOverride w:ilvl="1">
      <w:startOverride w:val="1"/>
    </w:lvlOverride>
  </w:num>
  <w:num w:numId="9">
    <w:abstractNumId w:val="6"/>
  </w:num>
  <w:num w:numId="10">
    <w:abstractNumId w:val="7"/>
  </w:num>
  <w:num w:numId="11">
    <w:abstractNumId w:val="5"/>
  </w:num>
  <w:num w:numId="12">
    <w:abstractNumId w:val="3"/>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55"/>
    <w:rsid w:val="00125B55"/>
    <w:rsid w:val="006B4610"/>
    <w:rsid w:val="006F591C"/>
    <w:rsid w:val="009F5280"/>
    <w:rsid w:val="009F7118"/>
    <w:rsid w:val="00AE41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8FC41-0839-4ACB-B3A6-661C18D2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rPr>
      <w:color w:val="0000FF"/>
      <w:u w:val="single"/>
    </w:rPr>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ita.krumina@gjensidige.lv" TargetMode="External"/><Relationship Id="rId3" Type="http://schemas.openxmlformats.org/officeDocument/2006/relationships/settings" Target="settings.xml"/><Relationship Id="rId7" Type="http://schemas.openxmlformats.org/officeDocument/2006/relationships/hyperlink" Target="mailto:peteris.lazdan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dzas\AppData\Local\Microsoft\Windows\INetCache\Content.Outlook\OEW3TNZC\Gjensidige_Baltic_OCTA_KASKO_liigums_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Gjensidige_Baltic_OCTA_KASKO_liigums_2015</Template>
  <TotalTime>3</TotalTime>
  <Pages>5</Pages>
  <Words>8629</Words>
  <Characters>4919</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Links>
    <vt:vector size="12" baseType="variant">
      <vt:variant>
        <vt:i4>3604546</vt:i4>
      </vt:variant>
      <vt:variant>
        <vt:i4>3</vt:i4>
      </vt:variant>
      <vt:variant>
        <vt:i4>0</vt:i4>
      </vt:variant>
      <vt:variant>
        <vt:i4>5</vt:i4>
      </vt:variant>
      <vt:variant>
        <vt:lpwstr>mailto:anita.krumina@gjensidige.lv</vt:lpwstr>
      </vt:variant>
      <vt:variant>
        <vt:lpwstr/>
      </vt:variant>
      <vt:variant>
        <vt:i4>7733264</vt:i4>
      </vt:variant>
      <vt:variant>
        <vt:i4>0</vt:i4>
      </vt:variant>
      <vt:variant>
        <vt:i4>0</vt:i4>
      </vt:variant>
      <vt:variant>
        <vt:i4>5</vt:i4>
      </vt:variant>
      <vt:variant>
        <vt:lpwstr>mailto:peteris.lazdans@jekabpils.lv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cp:lastModifiedBy>Mirdza Stankevica</cp:lastModifiedBy>
  <cp:revision>2</cp:revision>
  <cp:lastPrinted>2015-02-13T06:41:00Z</cp:lastPrinted>
  <dcterms:created xsi:type="dcterms:W3CDTF">2015-02-13T08:00:00Z</dcterms:created>
  <dcterms:modified xsi:type="dcterms:W3CDTF">2015-02-13T08:03:00Z</dcterms:modified>
</cp:coreProperties>
</file>