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536" w:rsidRDefault="002F0536" w:rsidP="002F0536">
      <w:pPr>
        <w:spacing w:after="0"/>
        <w:jc w:val="right"/>
        <w:rPr>
          <w:rFonts w:ascii="Times New Roman" w:hAnsi="Times New Roman"/>
          <w:sz w:val="24"/>
        </w:rPr>
      </w:pPr>
      <w:r>
        <w:rPr>
          <w:rFonts w:ascii="Times New Roman" w:hAnsi="Times New Roman"/>
          <w:sz w:val="24"/>
        </w:rPr>
        <w:t>____.pielikums</w:t>
      </w:r>
    </w:p>
    <w:p w:rsidR="002F0536" w:rsidRDefault="000B3924" w:rsidP="002F0536">
      <w:pPr>
        <w:spacing w:after="0"/>
        <w:jc w:val="right"/>
        <w:rPr>
          <w:rFonts w:ascii="Times New Roman" w:hAnsi="Times New Roman"/>
          <w:sz w:val="24"/>
        </w:rPr>
      </w:pPr>
      <w:r>
        <w:rPr>
          <w:rFonts w:ascii="Times New Roman" w:hAnsi="Times New Roman"/>
          <w:sz w:val="24"/>
        </w:rPr>
        <w:t>p</w:t>
      </w:r>
      <w:r w:rsidR="002F0536">
        <w:rPr>
          <w:rFonts w:ascii="Times New Roman" w:hAnsi="Times New Roman"/>
          <w:sz w:val="24"/>
        </w:rPr>
        <w:t>rojekta iesniegumam</w:t>
      </w:r>
    </w:p>
    <w:p w:rsidR="002F0536" w:rsidRDefault="002F0536" w:rsidP="002F0536">
      <w:pPr>
        <w:spacing w:after="0"/>
        <w:jc w:val="right"/>
        <w:rPr>
          <w:rFonts w:ascii="Times New Roman" w:hAnsi="Times New Roman"/>
          <w:sz w:val="24"/>
        </w:rPr>
      </w:pPr>
    </w:p>
    <w:p w:rsidR="009E7057" w:rsidRDefault="009E7057" w:rsidP="007A243A">
      <w:pPr>
        <w:jc w:val="center"/>
        <w:rPr>
          <w:rFonts w:ascii="Times New Roman" w:hAnsi="Times New Roman"/>
          <w:sz w:val="24"/>
        </w:rPr>
      </w:pPr>
      <w:r>
        <w:rPr>
          <w:rFonts w:ascii="Times New Roman" w:hAnsi="Times New Roman"/>
          <w:sz w:val="24"/>
        </w:rPr>
        <w:t>APLIECINĀJUMS PAR VALSTS ATBALSTA NOSACĪJUMU IEVĒROŠANU</w:t>
      </w:r>
    </w:p>
    <w:p w:rsidR="00E91E3D" w:rsidRDefault="00934562" w:rsidP="00E91E3D">
      <w:pPr>
        <w:spacing w:after="0" w:line="240" w:lineRule="auto"/>
        <w:jc w:val="center"/>
        <w:rPr>
          <w:rFonts w:ascii="Times New Roman" w:hAnsi="Times New Roman"/>
          <w:sz w:val="24"/>
        </w:rPr>
      </w:pPr>
      <w:hyperlink r:id="rId8" w:history="1">
        <w:r w:rsidR="00E91E3D" w:rsidRPr="00E91E3D">
          <w:rPr>
            <w:rFonts w:ascii="Times New Roman" w:hAnsi="Times New Roman"/>
            <w:sz w:val="24"/>
            <w:szCs w:val="24"/>
          </w:rPr>
          <w:t>Komisijas</w:t>
        </w:r>
      </w:hyperlink>
      <w:r w:rsidR="00E91E3D" w:rsidRPr="0009617C">
        <w:rPr>
          <w:rFonts w:ascii="Times New Roman" w:hAnsi="Times New Roman"/>
          <w:sz w:val="24"/>
          <w:szCs w:val="24"/>
        </w:rPr>
        <w:t xml:space="preserve"> </w:t>
      </w:r>
      <w:r w:rsidR="00E5641D">
        <w:rPr>
          <w:rFonts w:ascii="Times New Roman" w:eastAsia="Times New Roman" w:hAnsi="Times New Roman"/>
          <w:sz w:val="24"/>
          <w:szCs w:val="24"/>
          <w:lang w:eastAsia="lv-LV"/>
        </w:rPr>
        <w:t>2014.gada 17.</w:t>
      </w:r>
      <w:r w:rsidR="00E5641D" w:rsidRPr="0009617C">
        <w:rPr>
          <w:rFonts w:ascii="Times New Roman" w:eastAsia="Times New Roman" w:hAnsi="Times New Roman"/>
          <w:sz w:val="24"/>
          <w:szCs w:val="24"/>
          <w:lang w:eastAsia="lv-LV"/>
        </w:rPr>
        <w:t>jūnij</w:t>
      </w:r>
      <w:r w:rsidR="00E5641D">
        <w:rPr>
          <w:rFonts w:ascii="Times New Roman" w:eastAsia="Times New Roman" w:hAnsi="Times New Roman"/>
          <w:sz w:val="24"/>
          <w:szCs w:val="24"/>
          <w:lang w:eastAsia="lv-LV"/>
        </w:rPr>
        <w:t>a</w:t>
      </w:r>
      <w:r w:rsidR="00E5641D">
        <w:rPr>
          <w:rFonts w:ascii="Times New Roman" w:hAnsi="Times New Roman"/>
          <w:sz w:val="24"/>
          <w:szCs w:val="24"/>
        </w:rPr>
        <w:t xml:space="preserve"> </w:t>
      </w:r>
      <w:r w:rsidR="00E91E3D">
        <w:rPr>
          <w:rFonts w:ascii="Times New Roman" w:hAnsi="Times New Roman"/>
          <w:sz w:val="24"/>
          <w:szCs w:val="24"/>
        </w:rPr>
        <w:t>R</w:t>
      </w:r>
      <w:r w:rsidR="00E91E3D" w:rsidRPr="0009617C">
        <w:rPr>
          <w:rFonts w:ascii="Times New Roman" w:hAnsi="Times New Roman"/>
          <w:sz w:val="24"/>
          <w:szCs w:val="24"/>
        </w:rPr>
        <w:t>egula</w:t>
      </w:r>
      <w:r w:rsidR="00E91E3D" w:rsidRPr="0009617C">
        <w:rPr>
          <w:rFonts w:ascii="Times New Roman" w:eastAsia="Times New Roman" w:hAnsi="Times New Roman"/>
          <w:sz w:val="24"/>
          <w:szCs w:val="24"/>
          <w:lang w:eastAsia="lv-LV"/>
        </w:rPr>
        <w:t xml:space="preserve"> (E</w:t>
      </w:r>
      <w:r w:rsidR="00E91E3D">
        <w:rPr>
          <w:rFonts w:ascii="Times New Roman" w:eastAsia="Times New Roman" w:hAnsi="Times New Roman"/>
          <w:sz w:val="24"/>
          <w:szCs w:val="24"/>
          <w:lang w:eastAsia="lv-LV"/>
        </w:rPr>
        <w:t xml:space="preserve">S) </w:t>
      </w:r>
      <w:r w:rsidR="00E91E3D" w:rsidRPr="00152118">
        <w:rPr>
          <w:rFonts w:ascii="Times New Roman" w:eastAsia="Times New Roman" w:hAnsi="Times New Roman"/>
          <w:sz w:val="24"/>
          <w:szCs w:val="24"/>
          <w:u w:val="single"/>
          <w:lang w:eastAsia="lv-LV"/>
        </w:rPr>
        <w:t>Nr.651/2014</w:t>
      </w:r>
      <w:r w:rsidR="00E91E3D" w:rsidRPr="0009617C">
        <w:rPr>
          <w:rFonts w:ascii="Times New Roman" w:eastAsia="Times New Roman" w:hAnsi="Times New Roman"/>
          <w:sz w:val="24"/>
          <w:szCs w:val="24"/>
          <w:lang w:eastAsia="lv-LV"/>
        </w:rPr>
        <w:t>, ar ko noteiktas atbalsta kategorijas atzīst par saderīgām ar iekšēj</w:t>
      </w:r>
      <w:r w:rsidR="00E91E3D">
        <w:rPr>
          <w:rFonts w:ascii="Times New Roman" w:eastAsia="Times New Roman" w:hAnsi="Times New Roman"/>
          <w:sz w:val="24"/>
          <w:szCs w:val="24"/>
          <w:lang w:eastAsia="lv-LV"/>
        </w:rPr>
        <w:t>o tirgu, piemērojot Līguma 107.</w:t>
      </w:r>
      <w:r w:rsidR="00E91E3D" w:rsidRPr="0009617C">
        <w:rPr>
          <w:rFonts w:ascii="Times New Roman" w:eastAsia="Times New Roman" w:hAnsi="Times New Roman"/>
          <w:sz w:val="24"/>
          <w:szCs w:val="24"/>
          <w:lang w:eastAsia="lv-LV"/>
        </w:rPr>
        <w:t>un 108.</w:t>
      </w:r>
      <w:r w:rsidR="00E91E3D">
        <w:rPr>
          <w:rFonts w:ascii="Times New Roman" w:eastAsia="Times New Roman" w:hAnsi="Times New Roman"/>
          <w:sz w:val="24"/>
          <w:szCs w:val="24"/>
          <w:lang w:eastAsia="lv-LV"/>
        </w:rPr>
        <w:t>p</w:t>
      </w:r>
      <w:r w:rsidR="00E91E3D" w:rsidRPr="0009617C">
        <w:rPr>
          <w:rFonts w:ascii="Times New Roman" w:eastAsia="Times New Roman" w:hAnsi="Times New Roman"/>
          <w:sz w:val="24"/>
          <w:szCs w:val="24"/>
          <w:lang w:eastAsia="lv-LV"/>
        </w:rPr>
        <w:t>antu</w:t>
      </w:r>
      <w:r w:rsidR="00E91E3D">
        <w:rPr>
          <w:rFonts w:ascii="Times New Roman" w:hAnsi="Times New Roman"/>
          <w:sz w:val="24"/>
        </w:rPr>
        <w:t xml:space="preserve"> </w:t>
      </w:r>
    </w:p>
    <w:p w:rsidR="00E91E3D" w:rsidRDefault="00E91E3D" w:rsidP="00E91E3D">
      <w:pPr>
        <w:spacing w:after="0" w:line="240" w:lineRule="auto"/>
        <w:jc w:val="center"/>
        <w:rPr>
          <w:rFonts w:ascii="Times New Roman" w:hAnsi="Times New Roman"/>
          <w:sz w:val="24"/>
        </w:rPr>
      </w:pPr>
    </w:p>
    <w:p w:rsidR="00D23480" w:rsidRDefault="00E85815" w:rsidP="00E91E3D">
      <w:pPr>
        <w:spacing w:after="0" w:line="240" w:lineRule="auto"/>
        <w:jc w:val="both"/>
        <w:rPr>
          <w:rFonts w:ascii="Times New Roman" w:hAnsi="Times New Roman"/>
          <w:sz w:val="24"/>
        </w:rPr>
      </w:pPr>
      <w:r>
        <w:rPr>
          <w:rFonts w:ascii="Times New Roman" w:hAnsi="Times New Roman"/>
          <w:sz w:val="24"/>
        </w:rPr>
        <w:t>Projekta iesniedzējs</w:t>
      </w:r>
      <w:r w:rsidR="007A243A">
        <w:rPr>
          <w:rFonts w:ascii="Times New Roman" w:hAnsi="Times New Roman"/>
          <w:sz w:val="24"/>
        </w:rPr>
        <w:t xml:space="preserve"> ______________</w:t>
      </w:r>
      <w:r w:rsidR="00995608">
        <w:rPr>
          <w:rFonts w:ascii="Times New Roman" w:hAnsi="Times New Roman"/>
          <w:sz w:val="24"/>
        </w:rPr>
        <w:t>_______________________________________________</w:t>
      </w:r>
    </w:p>
    <w:p w:rsidR="00995608" w:rsidRDefault="00E85815" w:rsidP="00E91E3D">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sidR="00995608">
        <w:rPr>
          <w:rFonts w:ascii="Times New Roman" w:hAnsi="Times New Roman"/>
          <w:sz w:val="24"/>
          <w:vertAlign w:val="superscript"/>
        </w:rPr>
        <w:t xml:space="preserve">                                                    </w:t>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ab/>
      </w:r>
      <w:r w:rsidR="00995608">
        <w:rPr>
          <w:rFonts w:ascii="Times New Roman" w:hAnsi="Times New Roman"/>
          <w:sz w:val="24"/>
          <w:vertAlign w:val="superscript"/>
        </w:rPr>
        <w:tab/>
        <w:t xml:space="preserve"> </w:t>
      </w:r>
      <w:r w:rsidR="00D23480" w:rsidRPr="00D23480">
        <w:rPr>
          <w:rFonts w:ascii="Times New Roman" w:hAnsi="Times New Roman"/>
          <w:sz w:val="24"/>
          <w:vertAlign w:val="superscript"/>
        </w:rPr>
        <w:t>(nosaukums)</w:t>
      </w:r>
    </w:p>
    <w:p w:rsidR="00726C31" w:rsidRDefault="00726C31" w:rsidP="00E91E3D">
      <w:pPr>
        <w:spacing w:after="120" w:line="240" w:lineRule="auto"/>
        <w:jc w:val="both"/>
        <w:rPr>
          <w:rFonts w:ascii="Times New Roman" w:hAnsi="Times New Roman"/>
          <w:sz w:val="24"/>
        </w:rPr>
      </w:pPr>
      <w:r>
        <w:rPr>
          <w:rFonts w:ascii="Times New Roman" w:hAnsi="Times New Roman"/>
          <w:sz w:val="24"/>
        </w:rPr>
        <w:t>un/vai</w:t>
      </w:r>
    </w:p>
    <w:p w:rsidR="00995608" w:rsidRDefault="00726C31" w:rsidP="00E91E3D">
      <w:pPr>
        <w:spacing w:after="0" w:line="240" w:lineRule="auto"/>
        <w:jc w:val="both"/>
        <w:rPr>
          <w:rFonts w:ascii="Times New Roman" w:hAnsi="Times New Roman"/>
          <w:sz w:val="24"/>
        </w:rPr>
      </w:pPr>
      <w:r>
        <w:rPr>
          <w:rFonts w:ascii="Times New Roman" w:hAnsi="Times New Roman"/>
          <w:sz w:val="24"/>
        </w:rPr>
        <w:t xml:space="preserve">projekta sadarbības partneris </w:t>
      </w:r>
      <w:r w:rsidR="00995608">
        <w:rPr>
          <w:rFonts w:ascii="Times New Roman" w:hAnsi="Times New Roman"/>
          <w:sz w:val="24"/>
        </w:rPr>
        <w:t>______________________________________</w:t>
      </w:r>
      <w:r w:rsidR="00152118">
        <w:rPr>
          <w:rFonts w:ascii="Times New Roman" w:hAnsi="Times New Roman"/>
          <w:sz w:val="24"/>
        </w:rPr>
        <w:t>________________</w:t>
      </w:r>
    </w:p>
    <w:p w:rsidR="00995608" w:rsidRDefault="00995608" w:rsidP="00E91E3D">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(nosaukums)</w:t>
      </w:r>
    </w:p>
    <w:p w:rsidR="00995608" w:rsidRDefault="00E85815" w:rsidP="00E91E3D">
      <w:pPr>
        <w:spacing w:after="0" w:line="240" w:lineRule="auto"/>
        <w:jc w:val="both"/>
        <w:rPr>
          <w:rFonts w:ascii="Times New Roman" w:hAnsi="Times New Roman"/>
          <w:sz w:val="24"/>
        </w:rPr>
      </w:pPr>
      <w:r>
        <w:rPr>
          <w:rFonts w:ascii="Times New Roman" w:hAnsi="Times New Roman"/>
          <w:sz w:val="24"/>
        </w:rPr>
        <w:t>apliecina, ka</w:t>
      </w:r>
      <w:r w:rsidR="007A243A">
        <w:rPr>
          <w:rFonts w:ascii="Times New Roman" w:hAnsi="Times New Roman"/>
          <w:sz w:val="24"/>
        </w:rPr>
        <w:t xml:space="preserve"> </w:t>
      </w:r>
      <w:r>
        <w:rPr>
          <w:rFonts w:ascii="Times New Roman" w:hAnsi="Times New Roman"/>
          <w:sz w:val="24"/>
        </w:rPr>
        <w:t xml:space="preserve">projekta iesniegumā </w:t>
      </w:r>
    </w:p>
    <w:p w:rsidR="00995608" w:rsidRDefault="00995608" w:rsidP="00E91E3D">
      <w:pPr>
        <w:spacing w:before="240" w:after="0" w:line="240" w:lineRule="auto"/>
        <w:jc w:val="both"/>
        <w:rPr>
          <w:rFonts w:ascii="Times New Roman" w:hAnsi="Times New Roman"/>
          <w:sz w:val="24"/>
        </w:rPr>
      </w:pPr>
      <w:r>
        <w:rPr>
          <w:rFonts w:ascii="Times New Roman" w:hAnsi="Times New Roman"/>
          <w:sz w:val="24"/>
        </w:rPr>
        <w:t>______________________________________________</w:t>
      </w:r>
      <w:r w:rsidR="00152118">
        <w:rPr>
          <w:rFonts w:ascii="Times New Roman" w:hAnsi="Times New Roman"/>
          <w:sz w:val="24"/>
        </w:rPr>
        <w:t>_______________________________</w:t>
      </w:r>
    </w:p>
    <w:p w:rsidR="00995608" w:rsidRDefault="00995608" w:rsidP="00995608">
      <w:pPr>
        <w:spacing w:after="0" w:line="240" w:lineRule="auto"/>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(nosaukums)</w:t>
      </w:r>
    </w:p>
    <w:p w:rsidR="00995608" w:rsidRDefault="00995608" w:rsidP="0004734F">
      <w:pPr>
        <w:spacing w:after="0" w:line="240" w:lineRule="auto"/>
        <w:jc w:val="both"/>
        <w:rPr>
          <w:rFonts w:ascii="Times New Roman" w:hAnsi="Times New Roman"/>
          <w:sz w:val="24"/>
        </w:rPr>
      </w:pPr>
    </w:p>
    <w:p w:rsidR="00AE5035" w:rsidRDefault="008C3857" w:rsidP="0004734F">
      <w:pPr>
        <w:spacing w:after="120" w:line="240" w:lineRule="auto"/>
        <w:jc w:val="both"/>
        <w:rPr>
          <w:rFonts w:ascii="Times New Roman" w:hAnsi="Times New Roman"/>
          <w:sz w:val="24"/>
        </w:rPr>
      </w:pPr>
      <w:r>
        <w:rPr>
          <w:rFonts w:ascii="Times New Roman" w:hAnsi="Times New Roman"/>
          <w:sz w:val="24"/>
        </w:rPr>
        <w:t xml:space="preserve">ieguldījumi, kas </w:t>
      </w:r>
      <w:r w:rsidR="00E85815">
        <w:rPr>
          <w:rFonts w:ascii="Times New Roman" w:hAnsi="Times New Roman"/>
          <w:sz w:val="24"/>
        </w:rPr>
        <w:t>plānot</w:t>
      </w:r>
      <w:r>
        <w:rPr>
          <w:rFonts w:ascii="Times New Roman" w:hAnsi="Times New Roman"/>
          <w:sz w:val="24"/>
        </w:rPr>
        <w:t>i</w:t>
      </w:r>
      <w:r w:rsidR="00E85815">
        <w:rPr>
          <w:rFonts w:ascii="Times New Roman" w:hAnsi="Times New Roman"/>
          <w:sz w:val="24"/>
        </w:rPr>
        <w:t xml:space="preserve"> </w:t>
      </w:r>
      <w:r w:rsidR="0004734F" w:rsidRPr="00E24B43">
        <w:rPr>
          <w:rFonts w:ascii="Times New Roman" w:hAnsi="Times New Roman"/>
          <w:sz w:val="24"/>
          <w:szCs w:val="24"/>
        </w:rPr>
        <w:t>Ministru kabineta 2015.gada 13.oktobra noteikum</w:t>
      </w:r>
      <w:r w:rsidR="0004734F">
        <w:rPr>
          <w:rFonts w:ascii="Times New Roman" w:hAnsi="Times New Roman"/>
          <w:sz w:val="24"/>
          <w:szCs w:val="24"/>
        </w:rPr>
        <w:t>u</w:t>
      </w:r>
      <w:r w:rsidR="0004734F" w:rsidRPr="00E24B43">
        <w:rPr>
          <w:rFonts w:ascii="Times New Roman" w:hAnsi="Times New Roman"/>
          <w:sz w:val="24"/>
          <w:szCs w:val="24"/>
        </w:rPr>
        <w:t xml:space="preserve"> Nr.593 </w:t>
      </w:r>
      <w:r w:rsidR="0004734F">
        <w:rPr>
          <w:rFonts w:ascii="Times New Roman" w:hAnsi="Times New Roman"/>
          <w:sz w:val="24"/>
          <w:szCs w:val="24"/>
        </w:rPr>
        <w:t>„</w:t>
      </w:r>
      <w:r w:rsidR="0004734F" w:rsidRPr="00E24B43">
        <w:rPr>
          <w:rFonts w:ascii="Times New Roman" w:hAnsi="Times New Roman"/>
          <w:sz w:val="24"/>
          <w:szCs w:val="24"/>
        </w:rPr>
        <w:t xml:space="preserve">Darbības programmas </w:t>
      </w:r>
      <w:r w:rsidR="0004734F">
        <w:rPr>
          <w:rFonts w:ascii="Times New Roman" w:hAnsi="Times New Roman"/>
          <w:sz w:val="24"/>
          <w:szCs w:val="24"/>
        </w:rPr>
        <w:t>„</w:t>
      </w:r>
      <w:r w:rsidR="0004734F" w:rsidRPr="00E24B43">
        <w:rPr>
          <w:rFonts w:ascii="Times New Roman" w:hAnsi="Times New Roman"/>
          <w:sz w:val="24"/>
          <w:szCs w:val="24"/>
        </w:rPr>
        <w:t>Izaugsme un nodarbinātība</w:t>
      </w:r>
      <w:r w:rsidR="0004734F">
        <w:rPr>
          <w:rFonts w:ascii="Times New Roman" w:hAnsi="Times New Roman"/>
          <w:sz w:val="24"/>
          <w:szCs w:val="24"/>
        </w:rPr>
        <w:t>”</w:t>
      </w:r>
      <w:r w:rsidR="0004734F" w:rsidRPr="00E24B43">
        <w:rPr>
          <w:rFonts w:ascii="Times New Roman" w:hAnsi="Times New Roman"/>
          <w:sz w:val="24"/>
          <w:szCs w:val="24"/>
        </w:rPr>
        <w:t xml:space="preserve"> 3.3.1.specifiskā atbalsta mērķa </w:t>
      </w:r>
      <w:r w:rsidR="0004734F">
        <w:rPr>
          <w:rFonts w:ascii="Times New Roman" w:hAnsi="Times New Roman"/>
          <w:sz w:val="24"/>
          <w:szCs w:val="24"/>
        </w:rPr>
        <w:t>„</w:t>
      </w:r>
      <w:r w:rsidR="0004734F" w:rsidRPr="00E24B43">
        <w:rPr>
          <w:rFonts w:ascii="Times New Roman" w:hAnsi="Times New Roman"/>
          <w:sz w:val="24"/>
          <w:szCs w:val="24"/>
        </w:rPr>
        <w:t>Palielināt privāto investīciju apjomu reģionos, veicot ieguldījumus uzņēmējdarbības attīstībai atbilstoši pašvaldību attīstības programmās noteiktajai teritoriju ekonomiskajai specializācijai un balstoties uz vietējo uzņēmēju vajadzībām</w:t>
      </w:r>
      <w:r w:rsidR="0004734F">
        <w:rPr>
          <w:rFonts w:ascii="Times New Roman" w:hAnsi="Times New Roman"/>
          <w:sz w:val="24"/>
          <w:szCs w:val="24"/>
        </w:rPr>
        <w:t>”</w:t>
      </w:r>
      <w:r w:rsidR="0004734F" w:rsidRPr="00E24B43">
        <w:rPr>
          <w:rFonts w:ascii="Times New Roman" w:hAnsi="Times New Roman"/>
          <w:sz w:val="24"/>
          <w:szCs w:val="24"/>
        </w:rPr>
        <w:t xml:space="preserve"> īstenošanas noteikumi</w:t>
      </w:r>
      <w:r w:rsidR="0004734F">
        <w:rPr>
          <w:rFonts w:ascii="Times New Roman" w:hAnsi="Times New Roman"/>
          <w:sz w:val="24"/>
          <w:szCs w:val="24"/>
        </w:rPr>
        <w:t>”</w:t>
      </w:r>
      <w:r w:rsidR="0004734F" w:rsidRPr="00E24B43">
        <w:rPr>
          <w:rFonts w:ascii="Times New Roman" w:hAnsi="Times New Roman"/>
          <w:sz w:val="24"/>
          <w:szCs w:val="24"/>
        </w:rPr>
        <w:t xml:space="preserve"> (turpmāk - MK noteikumi)</w:t>
      </w:r>
      <w:r w:rsidR="00E85815">
        <w:rPr>
          <w:rFonts w:ascii="Times New Roman" w:hAnsi="Times New Roman"/>
          <w:sz w:val="24"/>
        </w:rPr>
        <w:t xml:space="preserve"> </w:t>
      </w:r>
      <w:r w:rsidR="009F5E24" w:rsidRPr="004F6A41">
        <w:rPr>
          <w:rFonts w:ascii="Times New Roman" w:hAnsi="Times New Roman"/>
          <w:b/>
          <w:sz w:val="24"/>
        </w:rPr>
        <w:t>19.2., 19.3.1., 19.5.apakšpunkt</w:t>
      </w:r>
      <w:r w:rsidRPr="004F6A41">
        <w:rPr>
          <w:rFonts w:ascii="Times New Roman" w:hAnsi="Times New Roman"/>
          <w:b/>
          <w:sz w:val="24"/>
        </w:rPr>
        <w:t>u</w:t>
      </w:r>
      <w:r>
        <w:rPr>
          <w:rFonts w:ascii="Times New Roman" w:hAnsi="Times New Roman"/>
          <w:sz w:val="24"/>
        </w:rPr>
        <w:t xml:space="preserve"> ietvaros</w:t>
      </w:r>
      <w:r w:rsidR="00E85815">
        <w:rPr>
          <w:rFonts w:ascii="Times New Roman" w:hAnsi="Times New Roman"/>
          <w:sz w:val="24"/>
        </w:rPr>
        <w:t xml:space="preserve">, </w:t>
      </w:r>
      <w:r w:rsidR="007A243A">
        <w:rPr>
          <w:rFonts w:ascii="Times New Roman" w:hAnsi="Times New Roman"/>
          <w:sz w:val="24"/>
        </w:rPr>
        <w:t>atbilst</w:t>
      </w:r>
      <w:r w:rsidR="00E85815">
        <w:rPr>
          <w:rFonts w:ascii="Times New Roman" w:hAnsi="Times New Roman"/>
          <w:sz w:val="24"/>
        </w:rPr>
        <w:t xml:space="preserve"> Regulas Nr.651/2014 nosacījumiem</w:t>
      </w:r>
      <w:r w:rsidR="007A243A">
        <w:rPr>
          <w:rFonts w:ascii="Times New Roman" w:hAnsi="Times New Roman"/>
          <w:sz w:val="24"/>
        </w:rPr>
        <w:t xml:space="preserve">, tajā skaitā </w:t>
      </w:r>
      <w:r w:rsidR="004C32C4">
        <w:rPr>
          <w:rFonts w:ascii="Times New Roman" w:hAnsi="Times New Roman"/>
          <w:sz w:val="24"/>
        </w:rPr>
        <w:t>šādiem nosacījumiem</w:t>
      </w:r>
      <w:r w:rsidR="00E85815">
        <w:rPr>
          <w:rFonts w:ascii="Times New Roman" w:hAnsi="Times New Roman"/>
          <w:sz w:val="24"/>
        </w:rPr>
        <w:t>:</w:t>
      </w:r>
    </w:p>
    <w:p w:rsidR="00E85815" w:rsidRDefault="004C32C4" w:rsidP="007A243A">
      <w:pPr>
        <w:pStyle w:val="NoSpacing"/>
        <w:numPr>
          <w:ilvl w:val="0"/>
          <w:numId w:val="1"/>
        </w:numPr>
        <w:spacing w:after="120"/>
        <w:ind w:left="426" w:hanging="283"/>
        <w:jc w:val="both"/>
        <w:rPr>
          <w:rFonts w:ascii="Times New Roman" w:hAnsi="Times New Roman"/>
          <w:sz w:val="24"/>
        </w:rPr>
      </w:pPr>
      <w:r>
        <w:rPr>
          <w:rFonts w:ascii="Times New Roman" w:hAnsi="Times New Roman"/>
          <w:sz w:val="24"/>
        </w:rPr>
        <w:t>investīcijas netiek veiktas</w:t>
      </w:r>
      <w:r w:rsidR="00E85815">
        <w:rPr>
          <w:rFonts w:ascii="Times New Roman" w:hAnsi="Times New Roman"/>
          <w:sz w:val="24"/>
        </w:rPr>
        <w:t xml:space="preserve"> kādā no nozarēm, kas minētas Regulas Nr.651/2014 1.panta 3.punktā;</w:t>
      </w:r>
    </w:p>
    <w:p w:rsidR="00E85815" w:rsidRDefault="00E85815" w:rsidP="007A243A">
      <w:pPr>
        <w:pStyle w:val="NoSpacing"/>
        <w:numPr>
          <w:ilvl w:val="0"/>
          <w:numId w:val="1"/>
        </w:numPr>
        <w:spacing w:after="120"/>
        <w:ind w:left="426" w:hanging="283"/>
        <w:jc w:val="both"/>
        <w:rPr>
          <w:rFonts w:ascii="Times New Roman" w:hAnsi="Times New Roman"/>
          <w:sz w:val="24"/>
        </w:rPr>
      </w:pPr>
      <w:r>
        <w:rPr>
          <w:rFonts w:ascii="Times New Roman" w:hAnsi="Times New Roman"/>
          <w:sz w:val="24"/>
        </w:rPr>
        <w:t>atbilstoši Regulas Nr.651/2014 1.panta 2.punkta „c” apakšpunkta nosacījumiem atbalsts netiek sniegts darbībām, kas saistītas ar eksportu uz trešajām valstīm vai dalībvalstīm, tas ir, atbalstam, kas tieši saistīts ar eksportētajiem daudzumiem, izplatīšanas tīkla izveidi un darbību vai citiem kārtējiem izdevumiem, kuri saistīti ar eksporta darbībām;</w:t>
      </w:r>
    </w:p>
    <w:p w:rsidR="00E85815" w:rsidRDefault="00E85815" w:rsidP="007A243A">
      <w:pPr>
        <w:pStyle w:val="NoSpacing"/>
        <w:numPr>
          <w:ilvl w:val="0"/>
          <w:numId w:val="1"/>
        </w:numPr>
        <w:spacing w:after="120"/>
        <w:ind w:left="426" w:hanging="283"/>
        <w:jc w:val="both"/>
        <w:rPr>
          <w:rFonts w:ascii="Times New Roman" w:hAnsi="Times New Roman"/>
          <w:sz w:val="24"/>
        </w:rPr>
      </w:pPr>
      <w:r>
        <w:rPr>
          <w:rFonts w:ascii="Times New Roman" w:hAnsi="Times New Roman"/>
          <w:sz w:val="24"/>
        </w:rPr>
        <w:t>atbilstoši Regulas Nr.651/2014 1.panta 2.punkta „d” apakšpunkta nosacījumiem netiek piemērots tāds atbalsts, ko piešķir ar nosacījumu, ka importa preču vietā tiek izmantotas vietējās preces;</w:t>
      </w:r>
    </w:p>
    <w:p w:rsidR="00E85815" w:rsidRPr="00967B9B" w:rsidRDefault="00E85815" w:rsidP="007A243A">
      <w:pPr>
        <w:pStyle w:val="NoSpacing"/>
        <w:numPr>
          <w:ilvl w:val="0"/>
          <w:numId w:val="1"/>
        </w:numPr>
        <w:spacing w:after="120"/>
        <w:ind w:left="426" w:hanging="283"/>
        <w:jc w:val="both"/>
        <w:rPr>
          <w:rFonts w:ascii="Times New Roman" w:hAnsi="Times New Roman"/>
          <w:sz w:val="24"/>
        </w:rPr>
      </w:pPr>
      <w:r>
        <w:rPr>
          <w:rFonts w:ascii="Times New Roman" w:hAnsi="Times New Roman"/>
          <w:sz w:val="24"/>
        </w:rPr>
        <w:t>atbalstu nav paredzēts sniegt</w:t>
      </w:r>
      <w:r>
        <w:rPr>
          <w:rFonts w:ascii="Times New Roman" w:hAnsi="Times New Roman"/>
          <w:color w:val="auto"/>
          <w:sz w:val="24"/>
        </w:rPr>
        <w:t xml:space="preserve"> darbībām tērauda nozarē, ogļrūpniecības nozarē, kuģu būves nozarē, sintētisko šķiedru nozarē, transporta nozarē, kā arī saistītajai infrastruktūrai, un enerģijas ražošana</w:t>
      </w:r>
      <w:r w:rsidR="00273264">
        <w:rPr>
          <w:rFonts w:ascii="Times New Roman" w:hAnsi="Times New Roman"/>
          <w:color w:val="auto"/>
          <w:sz w:val="24"/>
        </w:rPr>
        <w:t>i</w:t>
      </w:r>
      <w:r>
        <w:rPr>
          <w:rFonts w:ascii="Times New Roman" w:hAnsi="Times New Roman"/>
          <w:color w:val="auto"/>
          <w:sz w:val="24"/>
        </w:rPr>
        <w:t>, sadale</w:t>
      </w:r>
      <w:r w:rsidR="00273264">
        <w:rPr>
          <w:rFonts w:ascii="Times New Roman" w:hAnsi="Times New Roman"/>
          <w:color w:val="auto"/>
          <w:sz w:val="24"/>
        </w:rPr>
        <w:t>i</w:t>
      </w:r>
      <w:r>
        <w:rPr>
          <w:rFonts w:ascii="Times New Roman" w:hAnsi="Times New Roman"/>
          <w:color w:val="auto"/>
          <w:sz w:val="24"/>
        </w:rPr>
        <w:t xml:space="preserve"> un infrastruktūra</w:t>
      </w:r>
      <w:r w:rsidR="00273264">
        <w:rPr>
          <w:rFonts w:ascii="Times New Roman" w:hAnsi="Times New Roman"/>
          <w:color w:val="auto"/>
          <w:sz w:val="24"/>
        </w:rPr>
        <w:t>i</w:t>
      </w:r>
      <w:r>
        <w:rPr>
          <w:rFonts w:ascii="Times New Roman" w:hAnsi="Times New Roman"/>
          <w:color w:val="auto"/>
          <w:sz w:val="24"/>
        </w:rPr>
        <w:t xml:space="preserve"> (attiecināms MK noteikumu 19.3.1.un 19.5.apakšpunkta gadījumā);</w:t>
      </w:r>
    </w:p>
    <w:p w:rsidR="00E85815" w:rsidRPr="007C663C" w:rsidRDefault="00E85815" w:rsidP="007A243A">
      <w:pPr>
        <w:pStyle w:val="NoSpacing"/>
        <w:numPr>
          <w:ilvl w:val="0"/>
          <w:numId w:val="1"/>
        </w:numPr>
        <w:spacing w:after="120"/>
        <w:ind w:left="426" w:hanging="283"/>
        <w:jc w:val="both"/>
        <w:rPr>
          <w:rFonts w:ascii="Times New Roman" w:hAnsi="Times New Roman"/>
          <w:sz w:val="24"/>
        </w:rPr>
      </w:pPr>
      <w:r>
        <w:rPr>
          <w:rFonts w:ascii="Times New Roman" w:hAnsi="Times New Roman"/>
          <w:color w:val="auto"/>
          <w:sz w:val="24"/>
        </w:rPr>
        <w:t xml:space="preserve">sniedzot atbalstu </w:t>
      </w:r>
      <w:r>
        <w:rPr>
          <w:rFonts w:ascii="Times New Roman" w:hAnsi="Times New Roman"/>
          <w:sz w:val="24"/>
        </w:rPr>
        <w:t xml:space="preserve">Regulas Nr.651/2014 56.panta ietvaros, atbalsts netiek sniegts tādai infrastruktūrai, uz kuru attiecas Regulas Nr.651/2014 III nodaļas citas iedaļas (izņemot 1.iedaļu „Reģionālais atbalsts”) un atbalsts netiek sniegts </w:t>
      </w:r>
      <w:r w:rsidR="005C0953">
        <w:rPr>
          <w:rFonts w:ascii="Times New Roman" w:hAnsi="Times New Roman"/>
          <w:sz w:val="24"/>
        </w:rPr>
        <w:t>lidostu un ostu infrastruktūrai</w:t>
      </w:r>
      <w:r>
        <w:rPr>
          <w:rFonts w:ascii="Times New Roman" w:hAnsi="Times New Roman"/>
          <w:sz w:val="24"/>
        </w:rPr>
        <w:t xml:space="preserve"> </w:t>
      </w:r>
      <w:r w:rsidR="005C0953">
        <w:rPr>
          <w:rFonts w:ascii="Times New Roman" w:hAnsi="Times New Roman"/>
          <w:color w:val="auto"/>
          <w:sz w:val="24"/>
        </w:rPr>
        <w:t>(a</w:t>
      </w:r>
      <w:r>
        <w:rPr>
          <w:rFonts w:ascii="Times New Roman" w:hAnsi="Times New Roman"/>
          <w:color w:val="auto"/>
          <w:sz w:val="24"/>
        </w:rPr>
        <w:t>ttiecināms MK noteikumu 19.2.2.apakšpunkta gadījumā)</w:t>
      </w:r>
      <w:r>
        <w:rPr>
          <w:rFonts w:ascii="Times New Roman" w:hAnsi="Times New Roman"/>
          <w:sz w:val="24"/>
        </w:rPr>
        <w:t>;</w:t>
      </w:r>
    </w:p>
    <w:p w:rsidR="00E85815" w:rsidRPr="00D737AB" w:rsidRDefault="00E85815" w:rsidP="007A243A">
      <w:pPr>
        <w:pStyle w:val="NoSpacing"/>
        <w:numPr>
          <w:ilvl w:val="0"/>
          <w:numId w:val="1"/>
        </w:numPr>
        <w:spacing w:after="120"/>
        <w:ind w:left="426" w:hanging="283"/>
        <w:jc w:val="both"/>
        <w:rPr>
          <w:rFonts w:ascii="Times New Roman" w:hAnsi="Times New Roman"/>
          <w:sz w:val="24"/>
        </w:rPr>
      </w:pPr>
      <w:r>
        <w:rPr>
          <w:rFonts w:ascii="Times New Roman" w:hAnsi="Times New Roman"/>
          <w:color w:val="auto"/>
          <w:sz w:val="24"/>
        </w:rPr>
        <w:t>tiks nodrošināta izmaksu nošķiršana tādejādi, ka darbības izslēgtajās nozarēs negūst labumu no atbalsta, kas piešķirts saskaņā ar Regulu Nr.651/2014;</w:t>
      </w:r>
    </w:p>
    <w:p w:rsidR="00E85815" w:rsidRDefault="00E85815" w:rsidP="005C0953">
      <w:pPr>
        <w:pStyle w:val="NoSpacing"/>
        <w:numPr>
          <w:ilvl w:val="0"/>
          <w:numId w:val="1"/>
        </w:numPr>
        <w:spacing w:after="120"/>
        <w:ind w:left="426" w:hanging="283"/>
        <w:jc w:val="both"/>
        <w:rPr>
          <w:rFonts w:ascii="Times New Roman" w:hAnsi="Times New Roman"/>
          <w:sz w:val="24"/>
        </w:rPr>
      </w:pPr>
      <w:r>
        <w:rPr>
          <w:rFonts w:ascii="Times New Roman" w:hAnsi="Times New Roman"/>
          <w:sz w:val="24"/>
        </w:rPr>
        <w:t xml:space="preserve">ieguldījumu atbalsts energoinfrastruktūrai (ja tāda projekta iesniegumā plānota) nepārsniedz 50 milj. </w:t>
      </w:r>
      <w:r w:rsidRPr="00423306">
        <w:rPr>
          <w:rFonts w:ascii="Times New Roman" w:hAnsi="Times New Roman"/>
          <w:i/>
          <w:sz w:val="24"/>
        </w:rPr>
        <w:t>euro</w:t>
      </w:r>
      <w:r>
        <w:rPr>
          <w:rFonts w:ascii="Times New Roman" w:hAnsi="Times New Roman"/>
          <w:sz w:val="24"/>
        </w:rPr>
        <w:t xml:space="preserve"> vienam uzņēmuma</w:t>
      </w:r>
      <w:r w:rsidR="005C0953">
        <w:rPr>
          <w:rFonts w:ascii="Times New Roman" w:hAnsi="Times New Roman"/>
          <w:sz w:val="24"/>
        </w:rPr>
        <w:t>m</w:t>
      </w:r>
      <w:r>
        <w:rPr>
          <w:rFonts w:ascii="Times New Roman" w:hAnsi="Times New Roman"/>
          <w:sz w:val="24"/>
        </w:rPr>
        <w:t xml:space="preserve"> vienā ieguldījumu projektā;</w:t>
      </w:r>
    </w:p>
    <w:p w:rsidR="00C41F33" w:rsidRPr="00273264" w:rsidRDefault="00E85815" w:rsidP="009A36EB">
      <w:pPr>
        <w:pStyle w:val="ListParagraph"/>
        <w:numPr>
          <w:ilvl w:val="0"/>
          <w:numId w:val="1"/>
        </w:numPr>
        <w:spacing w:after="120" w:line="240" w:lineRule="auto"/>
        <w:ind w:left="425" w:hanging="357"/>
        <w:contextualSpacing w:val="0"/>
        <w:jc w:val="both"/>
      </w:pPr>
      <w:r w:rsidRPr="005C0953">
        <w:rPr>
          <w:rFonts w:ascii="Times New Roman" w:hAnsi="Times New Roman"/>
          <w:sz w:val="24"/>
        </w:rPr>
        <w:lastRenderedPageBreak/>
        <w:t xml:space="preserve">ieguldījumu atbalsts vietējai infrastruktūrai (ja tāda projekta iesniegumā plānota) nepārsniedz 10 milj. </w:t>
      </w:r>
      <w:r w:rsidRPr="005C0953">
        <w:rPr>
          <w:rFonts w:ascii="Times New Roman" w:hAnsi="Times New Roman"/>
          <w:i/>
          <w:sz w:val="24"/>
        </w:rPr>
        <w:t>euro</w:t>
      </w:r>
      <w:r w:rsidRPr="005C0953">
        <w:rPr>
          <w:rFonts w:ascii="Times New Roman" w:hAnsi="Times New Roman"/>
          <w:sz w:val="24"/>
        </w:rPr>
        <w:t xml:space="preserve"> vai kopējās izmaksas vienai un tai pašai infrastruktūrai nepārsniedz 20 milj. </w:t>
      </w:r>
      <w:r w:rsidRPr="005C0953">
        <w:rPr>
          <w:rFonts w:ascii="Times New Roman" w:hAnsi="Times New Roman"/>
          <w:i/>
          <w:sz w:val="24"/>
        </w:rPr>
        <w:t>euro</w:t>
      </w:r>
      <w:r w:rsidR="00C41F33">
        <w:rPr>
          <w:rFonts w:ascii="Times New Roman" w:hAnsi="Times New Roman"/>
          <w:i/>
          <w:sz w:val="24"/>
        </w:rPr>
        <w:t>;</w:t>
      </w:r>
    </w:p>
    <w:p w:rsidR="00273264" w:rsidRPr="00273264" w:rsidRDefault="00273264" w:rsidP="00273264">
      <w:pPr>
        <w:pStyle w:val="ListParagraph"/>
        <w:numPr>
          <w:ilvl w:val="0"/>
          <w:numId w:val="1"/>
        </w:numPr>
        <w:spacing w:after="120" w:line="240" w:lineRule="auto"/>
        <w:ind w:left="425" w:hanging="357"/>
        <w:contextualSpacing w:val="0"/>
        <w:jc w:val="both"/>
        <w:rPr>
          <w:rFonts w:ascii="Times New Roman" w:hAnsi="Times New Roman"/>
          <w:sz w:val="24"/>
          <w:szCs w:val="24"/>
        </w:rPr>
      </w:pPr>
      <w:r w:rsidRPr="0099283B">
        <w:rPr>
          <w:rFonts w:ascii="Times New Roman" w:eastAsia="Times New Roman" w:hAnsi="Times New Roman"/>
          <w:bCs/>
          <w:sz w:val="24"/>
          <w:szCs w:val="24"/>
          <w:lang w:eastAsia="lv-LV"/>
        </w:rPr>
        <w:t>uz projekta iesniedzēju/sadarbības partneri ne</w:t>
      </w:r>
      <w:r w:rsidRPr="0099283B">
        <w:rPr>
          <w:rFonts w:ascii="Times New Roman" w:hAnsi="Times New Roman"/>
          <w:sz w:val="24"/>
          <w:szCs w:val="24"/>
        </w:rPr>
        <w:t>attiecas līdzekļu atgūšanas rīkojums saskaņā ar iepriekšēju Komisijas lēmumu, ar ko atbalsts tiek atzīts par nelikumīgu un nesaderīgu ar kopējo tirgu;</w:t>
      </w:r>
    </w:p>
    <w:p w:rsidR="00C7149B" w:rsidRPr="00DF78C8" w:rsidRDefault="0089222D" w:rsidP="009A36EB">
      <w:pPr>
        <w:pStyle w:val="ListParagraph"/>
        <w:numPr>
          <w:ilvl w:val="0"/>
          <w:numId w:val="1"/>
        </w:numPr>
        <w:spacing w:after="120" w:line="240" w:lineRule="auto"/>
        <w:ind w:left="425" w:hanging="357"/>
        <w:contextualSpacing w:val="0"/>
        <w:jc w:val="both"/>
      </w:pPr>
      <w:r>
        <w:rPr>
          <w:rFonts w:ascii="Times New Roman" w:hAnsi="Times New Roman"/>
          <w:sz w:val="24"/>
        </w:rPr>
        <w:t>saņemot</w:t>
      </w:r>
      <w:r w:rsidR="00C41F33">
        <w:rPr>
          <w:rFonts w:ascii="Times New Roman" w:hAnsi="Times New Roman"/>
          <w:sz w:val="24"/>
        </w:rPr>
        <w:t xml:space="preserve"> atbalstu</w:t>
      </w:r>
      <w:r w:rsidR="00C41F33" w:rsidRPr="00C41F33">
        <w:rPr>
          <w:rFonts w:ascii="Times New Roman" w:hAnsi="Times New Roman"/>
          <w:sz w:val="24"/>
        </w:rPr>
        <w:t xml:space="preserve"> </w:t>
      </w:r>
      <w:r w:rsidR="00C41F33">
        <w:rPr>
          <w:rFonts w:ascii="Times New Roman" w:hAnsi="Times New Roman"/>
          <w:sz w:val="24"/>
        </w:rPr>
        <w:t>Regulas Nr.651/2014 48. un 56.panta ietvaros, projekta pārskata perioda</w:t>
      </w:r>
      <w:r w:rsidR="00415571">
        <w:rPr>
          <w:rStyle w:val="FootnoteReference"/>
          <w:rFonts w:ascii="Times New Roman" w:hAnsi="Times New Roman"/>
          <w:sz w:val="24"/>
        </w:rPr>
        <w:footnoteReference w:id="1"/>
      </w:r>
      <w:r w:rsidR="00C41F33">
        <w:rPr>
          <w:rFonts w:ascii="Times New Roman" w:hAnsi="Times New Roman"/>
          <w:sz w:val="24"/>
        </w:rPr>
        <w:t xml:space="preserve"> (projekta dzīves cikla) beigās</w:t>
      </w:r>
      <w:r>
        <w:rPr>
          <w:rFonts w:ascii="Times New Roman" w:hAnsi="Times New Roman"/>
          <w:sz w:val="24"/>
        </w:rPr>
        <w:t xml:space="preserve"> veiks </w:t>
      </w:r>
      <w:r w:rsidR="00AA1C72">
        <w:rPr>
          <w:rFonts w:ascii="Times New Roman" w:hAnsi="Times New Roman"/>
          <w:sz w:val="24"/>
        </w:rPr>
        <w:t xml:space="preserve">MK noteikumu 35.punktā minētās izmaksu un ieguvumu analīzes pārrēķinu. Ja projektā vai projekta daļā projekta pārskata periodā (projekta dzīves cikla laikā) </w:t>
      </w:r>
      <w:r>
        <w:rPr>
          <w:rFonts w:ascii="Times New Roman" w:hAnsi="Times New Roman"/>
          <w:sz w:val="24"/>
        </w:rPr>
        <w:t>būs</w:t>
      </w:r>
      <w:r w:rsidR="00AA1C72">
        <w:rPr>
          <w:rFonts w:ascii="Times New Roman" w:hAnsi="Times New Roman"/>
          <w:sz w:val="24"/>
        </w:rPr>
        <w:t xml:space="preserve"> radusies lielāka peļņa no pamatdarb</w:t>
      </w:r>
      <w:r w:rsidR="00145BC1">
        <w:rPr>
          <w:rFonts w:ascii="Times New Roman" w:hAnsi="Times New Roman"/>
          <w:sz w:val="24"/>
        </w:rPr>
        <w:t>ības</w:t>
      </w:r>
      <w:r w:rsidR="00AA1C72">
        <w:rPr>
          <w:rFonts w:ascii="Times New Roman" w:hAnsi="Times New Roman"/>
          <w:sz w:val="24"/>
        </w:rPr>
        <w:t xml:space="preserve"> nekā projektā plānots, sadarbības iestādei atmaksā</w:t>
      </w:r>
      <w:r>
        <w:rPr>
          <w:rFonts w:ascii="Times New Roman" w:hAnsi="Times New Roman"/>
          <w:sz w:val="24"/>
        </w:rPr>
        <w:t>s</w:t>
      </w:r>
      <w:r w:rsidR="00AA1C72">
        <w:rPr>
          <w:rFonts w:ascii="Times New Roman" w:hAnsi="Times New Roman"/>
          <w:sz w:val="24"/>
        </w:rPr>
        <w:t xml:space="preserve"> starpību starp faktisko peļņu un plānoto peļņu no pamatdarbības</w:t>
      </w:r>
      <w:r>
        <w:rPr>
          <w:rFonts w:ascii="Times New Roman" w:hAnsi="Times New Roman"/>
          <w:sz w:val="24"/>
        </w:rPr>
        <w:t xml:space="preserve"> (ja </w:t>
      </w:r>
      <w:r w:rsidRPr="00DF78C8">
        <w:rPr>
          <w:rFonts w:ascii="Times New Roman" w:hAnsi="Times New Roman"/>
          <w:sz w:val="24"/>
        </w:rPr>
        <w:t>attiecināms)</w:t>
      </w:r>
      <w:r w:rsidR="00273264" w:rsidRPr="00DF78C8">
        <w:rPr>
          <w:rFonts w:ascii="Times New Roman" w:hAnsi="Times New Roman"/>
          <w:sz w:val="24"/>
        </w:rPr>
        <w:t>;</w:t>
      </w:r>
    </w:p>
    <w:p w:rsidR="00A76949" w:rsidRPr="00DF78C8" w:rsidRDefault="00A76949" w:rsidP="00A76949">
      <w:pPr>
        <w:pStyle w:val="ListParagraph"/>
        <w:numPr>
          <w:ilvl w:val="0"/>
          <w:numId w:val="1"/>
        </w:numPr>
        <w:spacing w:after="120" w:line="240" w:lineRule="auto"/>
        <w:ind w:left="425" w:hanging="357"/>
        <w:contextualSpacing w:val="0"/>
        <w:jc w:val="both"/>
        <w:rPr>
          <w:rFonts w:ascii="Times New Roman" w:hAnsi="Times New Roman"/>
          <w:sz w:val="24"/>
          <w:szCs w:val="24"/>
        </w:rPr>
      </w:pPr>
      <w:r w:rsidRPr="00DF78C8">
        <w:rPr>
          <w:rFonts w:ascii="Times New Roman" w:hAnsi="Times New Roman"/>
          <w:sz w:val="24"/>
          <w:szCs w:val="24"/>
        </w:rPr>
        <w:t xml:space="preserve">atbilstoši Komisijas regulas Nr. </w:t>
      </w:r>
      <w:hyperlink r:id="rId9" w:tgtFrame="_blank" w:history="1">
        <w:r w:rsidRPr="00DF78C8">
          <w:rPr>
            <w:rFonts w:ascii="Times New Roman" w:hAnsi="Times New Roman"/>
            <w:sz w:val="24"/>
            <w:szCs w:val="24"/>
          </w:rPr>
          <w:t>651/2014</w:t>
        </w:r>
      </w:hyperlink>
      <w:r w:rsidRPr="00DF78C8">
        <w:rPr>
          <w:rFonts w:ascii="Times New Roman" w:hAnsi="Times New Roman"/>
          <w:sz w:val="24"/>
          <w:szCs w:val="24"/>
        </w:rPr>
        <w:t xml:space="preserve"> 14. panta 16. punkta nosacījumiem</w:t>
      </w:r>
      <w:r w:rsidRPr="00DF78C8">
        <w:rPr>
          <w:rFonts w:ascii="Arial" w:hAnsi="Arial" w:cs="Arial"/>
        </w:rPr>
        <w:t xml:space="preserve"> </w:t>
      </w:r>
      <w:r w:rsidRPr="00DF78C8">
        <w:rPr>
          <w:rFonts w:ascii="Times New Roman" w:hAnsi="Times New Roman"/>
          <w:sz w:val="24"/>
          <w:szCs w:val="24"/>
        </w:rPr>
        <w:t>atbalsta saņēmējs apliecina, ka tas pēdējo divu gadu laikā pirms pieteikšanās atbalstam nav veicis savas darbības pārcelšanu uz uzņēmējdarbības vietu, kurā tiks veikts sākotnējais ieguldījums, un apņemas nepārcelt savu darbību no atbalsta saņemšanas vietas divus gadus pēc tam, kad tiks pabeigts sākotnējais ieguldījums, kuram ir pieprasīts atbalsts (attiecināms MK noteikumu 19.3.1. un 19.5.apakšpunkta gadījumā)</w:t>
      </w:r>
      <w:r w:rsidR="005F0F70" w:rsidRPr="00DF78C8">
        <w:rPr>
          <w:rFonts w:ascii="Times New Roman" w:hAnsi="Times New Roman"/>
          <w:sz w:val="24"/>
          <w:szCs w:val="24"/>
        </w:rPr>
        <w:t>.</w:t>
      </w:r>
    </w:p>
    <w:p w:rsidR="00B70D36" w:rsidRDefault="00B70D36" w:rsidP="005F0F70">
      <w:pPr>
        <w:pStyle w:val="ListParagraph"/>
        <w:spacing w:after="120" w:line="240" w:lineRule="auto"/>
        <w:ind w:left="425"/>
        <w:contextualSpacing w:val="0"/>
        <w:jc w:val="both"/>
      </w:pPr>
    </w:p>
    <w:p w:rsidR="00B70D36" w:rsidRPr="000A2E25" w:rsidRDefault="00B70D36" w:rsidP="00B70D36">
      <w:pPr>
        <w:spacing w:after="0" w:line="240" w:lineRule="auto"/>
        <w:jc w:val="both"/>
        <w:rPr>
          <w:rFonts w:ascii="Times New Roman" w:hAnsi="Times New Roman"/>
        </w:rPr>
      </w:pPr>
      <w:r w:rsidRPr="000A2E25">
        <w:rPr>
          <w:rFonts w:ascii="Times New Roman" w:hAnsi="Times New Roman"/>
        </w:rPr>
        <w:t xml:space="preserve">Projekta iesniedzēja pārstāvja paraksts </w:t>
      </w:r>
    </w:p>
    <w:p w:rsidR="00B70D36" w:rsidRPr="000A2E25" w:rsidRDefault="00B70D36" w:rsidP="00B70D36">
      <w:pPr>
        <w:spacing w:after="120" w:line="240" w:lineRule="auto"/>
        <w:jc w:val="both"/>
        <w:rPr>
          <w:rFonts w:ascii="Times New Roman" w:hAnsi="Times New Roman"/>
        </w:rPr>
      </w:pPr>
      <w:r w:rsidRPr="000A2E25">
        <w:rPr>
          <w:rFonts w:ascii="Times New Roman" w:hAnsi="Times New Roman"/>
          <w:i/>
        </w:rPr>
        <w:t>(paraksta atšifrējums, parakstītāja amats)</w:t>
      </w:r>
      <w:r w:rsidRPr="000A2E25">
        <w:rPr>
          <w:rFonts w:ascii="Times New Roman" w:hAnsi="Times New Roman"/>
        </w:rPr>
        <w:tab/>
        <w:t xml:space="preserve"> ____________________________________</w:t>
      </w:r>
    </w:p>
    <w:p w:rsidR="00B70D36" w:rsidRPr="000A2E25" w:rsidRDefault="00B70D36" w:rsidP="00B70D36">
      <w:pPr>
        <w:spacing w:after="120" w:line="240" w:lineRule="auto"/>
        <w:jc w:val="both"/>
        <w:rPr>
          <w:rFonts w:ascii="Times New Roman" w:hAnsi="Times New Roman"/>
        </w:rPr>
      </w:pPr>
    </w:p>
    <w:p w:rsidR="00B70D36" w:rsidRPr="000A2E25" w:rsidRDefault="00B70D36" w:rsidP="00B70D36">
      <w:pPr>
        <w:spacing w:after="120" w:line="240" w:lineRule="auto"/>
        <w:jc w:val="both"/>
        <w:rPr>
          <w:rFonts w:ascii="Times New Roman" w:hAnsi="Times New Roman"/>
        </w:rPr>
      </w:pPr>
      <w:r w:rsidRPr="000A2E25">
        <w:rPr>
          <w:rFonts w:ascii="Times New Roman" w:hAnsi="Times New Roman"/>
        </w:rPr>
        <w:t>Paraksta datums _________________________</w:t>
      </w:r>
    </w:p>
    <w:p w:rsidR="00B70D36" w:rsidRPr="000A2E25" w:rsidRDefault="00B70D36" w:rsidP="00B70D36">
      <w:pPr>
        <w:spacing w:after="120" w:line="240" w:lineRule="auto"/>
        <w:jc w:val="both"/>
        <w:rPr>
          <w:rFonts w:ascii="Times New Roman" w:hAnsi="Times New Roman"/>
        </w:rPr>
      </w:pPr>
    </w:p>
    <w:p w:rsidR="00B70D36" w:rsidRPr="000A2E25" w:rsidRDefault="00B70D36" w:rsidP="00B70D36">
      <w:pPr>
        <w:spacing w:after="0" w:line="240" w:lineRule="auto"/>
        <w:jc w:val="both"/>
        <w:rPr>
          <w:rFonts w:ascii="Times New Roman" w:hAnsi="Times New Roman"/>
        </w:rPr>
      </w:pPr>
      <w:r w:rsidRPr="000A2E25">
        <w:rPr>
          <w:rFonts w:ascii="Times New Roman" w:hAnsi="Times New Roman"/>
        </w:rPr>
        <w:t xml:space="preserve">Sadarbības partnera pārstāvja paraksts </w:t>
      </w:r>
    </w:p>
    <w:p w:rsidR="00B70D36" w:rsidRDefault="00B70D36" w:rsidP="00B70D36">
      <w:pPr>
        <w:spacing w:after="120" w:line="240" w:lineRule="auto"/>
        <w:jc w:val="both"/>
        <w:rPr>
          <w:rFonts w:ascii="Times New Roman" w:hAnsi="Times New Roman"/>
        </w:rPr>
      </w:pPr>
      <w:r w:rsidRPr="000A2E25">
        <w:rPr>
          <w:rFonts w:ascii="Times New Roman" w:hAnsi="Times New Roman"/>
          <w:i/>
        </w:rPr>
        <w:t>(paraksta atšifrējums, parakstītāja amats)</w:t>
      </w:r>
      <w:r w:rsidRPr="000A2E25">
        <w:rPr>
          <w:rFonts w:ascii="Times New Roman" w:hAnsi="Times New Roman"/>
        </w:rPr>
        <w:tab/>
        <w:t xml:space="preserve"> ____________________________________</w:t>
      </w:r>
      <w:bookmarkStart w:id="0" w:name="_GoBack"/>
    </w:p>
    <w:p w:rsidR="00273264" w:rsidRDefault="00273264" w:rsidP="00B70D36">
      <w:pPr>
        <w:spacing w:after="120" w:line="240" w:lineRule="auto"/>
        <w:jc w:val="both"/>
        <w:rPr>
          <w:rFonts w:ascii="Times New Roman" w:hAnsi="Times New Roman"/>
        </w:rPr>
      </w:pPr>
    </w:p>
    <w:p w:rsidR="00273264" w:rsidRDefault="00273264" w:rsidP="00B70D36">
      <w:pPr>
        <w:spacing w:after="120" w:line="240" w:lineRule="auto"/>
        <w:jc w:val="both"/>
        <w:rPr>
          <w:rFonts w:ascii="Times New Roman" w:hAnsi="Times New Roman"/>
        </w:rPr>
      </w:pPr>
    </w:p>
    <w:bookmarkEnd w:id="0"/>
    <w:p w:rsidR="00273264" w:rsidRPr="000A2E25" w:rsidRDefault="00273264" w:rsidP="00B70D36">
      <w:pPr>
        <w:spacing w:after="120" w:line="240" w:lineRule="auto"/>
        <w:jc w:val="both"/>
        <w:rPr>
          <w:rFonts w:ascii="Times New Roman" w:hAnsi="Times New Roman"/>
        </w:rPr>
      </w:pPr>
    </w:p>
    <w:p w:rsidR="00B70D36" w:rsidRPr="000A2E25" w:rsidRDefault="00B70D36" w:rsidP="00B70D36">
      <w:pPr>
        <w:spacing w:after="120" w:line="240" w:lineRule="auto"/>
        <w:jc w:val="both"/>
        <w:rPr>
          <w:rFonts w:ascii="Times New Roman" w:hAnsi="Times New Roman"/>
        </w:rPr>
      </w:pPr>
    </w:p>
    <w:p w:rsidR="00B70D36" w:rsidRPr="000A2E25" w:rsidRDefault="00B70D36" w:rsidP="00B70D36">
      <w:pPr>
        <w:spacing w:after="120" w:line="240" w:lineRule="auto"/>
        <w:jc w:val="both"/>
        <w:rPr>
          <w:rFonts w:ascii="Times New Roman" w:hAnsi="Times New Roman"/>
        </w:rPr>
      </w:pPr>
      <w:r w:rsidRPr="000A2E25">
        <w:rPr>
          <w:rFonts w:ascii="Times New Roman" w:hAnsi="Times New Roman"/>
        </w:rPr>
        <w:t>Paraksta datums _________________________</w:t>
      </w:r>
    </w:p>
    <w:p w:rsidR="00B70D36" w:rsidRDefault="00B70D36" w:rsidP="00B70D36">
      <w:pPr>
        <w:spacing w:after="120" w:line="240" w:lineRule="auto"/>
        <w:jc w:val="both"/>
      </w:pPr>
    </w:p>
    <w:sectPr w:rsidR="00B70D36" w:rsidSect="00152118">
      <w:headerReference w:type="default" r:id="rId10"/>
      <w:pgSz w:w="11906" w:h="16838"/>
      <w:pgMar w:top="1134" w:right="1274"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562" w:rsidRDefault="00934562" w:rsidP="00152118">
      <w:pPr>
        <w:spacing w:after="0" w:line="240" w:lineRule="auto"/>
      </w:pPr>
      <w:r>
        <w:separator/>
      </w:r>
    </w:p>
  </w:endnote>
  <w:endnote w:type="continuationSeparator" w:id="0">
    <w:p w:rsidR="00934562" w:rsidRDefault="00934562" w:rsidP="0015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ヒラギノ角ゴ Pro W3">
    <w:altName w:val="MS Mincho"/>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562" w:rsidRDefault="00934562" w:rsidP="00152118">
      <w:pPr>
        <w:spacing w:after="0" w:line="240" w:lineRule="auto"/>
      </w:pPr>
      <w:r>
        <w:separator/>
      </w:r>
    </w:p>
  </w:footnote>
  <w:footnote w:type="continuationSeparator" w:id="0">
    <w:p w:rsidR="00934562" w:rsidRDefault="00934562" w:rsidP="00152118">
      <w:pPr>
        <w:spacing w:after="0" w:line="240" w:lineRule="auto"/>
      </w:pPr>
      <w:r>
        <w:continuationSeparator/>
      </w:r>
    </w:p>
  </w:footnote>
  <w:footnote w:id="1">
    <w:p w:rsidR="00415571" w:rsidRDefault="00415571" w:rsidP="005279CA">
      <w:pPr>
        <w:pStyle w:val="FootnoteText"/>
        <w:spacing w:after="120" w:line="240" w:lineRule="auto"/>
        <w:jc w:val="both"/>
      </w:pPr>
      <w:r>
        <w:rPr>
          <w:rStyle w:val="FootnoteReference"/>
        </w:rPr>
        <w:footnoteRef/>
      </w:r>
      <w:r>
        <w:t xml:space="preserve"> </w:t>
      </w:r>
      <w:r w:rsidR="00533776" w:rsidRPr="00533776">
        <w:rPr>
          <w:rFonts w:ascii="Times New Roman" w:hAnsi="Times New Roman"/>
          <w:iCs/>
          <w:shd w:val="clear" w:color="auto" w:fill="FFFFFF"/>
        </w:rPr>
        <w:t xml:space="preserve">Atbilstoši </w:t>
      </w:r>
      <w:r w:rsidRPr="00533776">
        <w:rPr>
          <w:rFonts w:ascii="Times New Roman" w:hAnsi="Times New Roman"/>
          <w:iCs/>
          <w:shd w:val="clear" w:color="auto" w:fill="FFFFFF"/>
        </w:rPr>
        <w:t>Komisijas 2014. gada 3. marta deleģētās Regulas (ES) Nr. </w:t>
      </w:r>
      <w:hyperlink r:id="rId1" w:tgtFrame="_blank" w:history="1">
        <w:r w:rsidRPr="00533776">
          <w:rPr>
            <w:rFonts w:ascii="Times New Roman" w:hAnsi="Times New Roman"/>
            <w:iCs/>
            <w:shd w:val="clear" w:color="auto" w:fill="FFFFFF"/>
          </w:rPr>
          <w:t>480/2014</w:t>
        </w:r>
      </w:hyperlink>
      <w:r w:rsidRPr="005279CA">
        <w:rPr>
          <w:rFonts w:ascii="Times New Roman" w:hAnsi="Times New Roman"/>
          <w:iCs/>
          <w:shd w:val="clear" w:color="auto" w:fill="FFFFFF"/>
        </w:rPr>
        <w:t xml:space="preserve"> ar kuru papildina Eiropas Parlamenta un Padomes Regulu (ES) Nr. </w:t>
      </w:r>
      <w:hyperlink r:id="rId2" w:tgtFrame="_blank" w:history="1">
        <w:r w:rsidRPr="005279CA">
          <w:rPr>
            <w:rFonts w:ascii="Times New Roman" w:hAnsi="Times New Roman"/>
            <w:iCs/>
            <w:shd w:val="clear" w:color="auto" w:fill="FFFFFF"/>
          </w:rPr>
          <w:t>1303/2013</w:t>
        </w:r>
      </w:hyperlink>
      <w:r w:rsidRPr="005279CA">
        <w:rPr>
          <w:rFonts w:ascii="Times New Roman" w:hAnsi="Times New Roman"/>
          <w:iCs/>
          <w:shd w:val="clear" w:color="auto" w:fill="FFFFFF"/>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r w:rsidR="00533776">
        <w:rPr>
          <w:rFonts w:ascii="Times New Roman" w:hAnsi="Times New Roman"/>
          <w:iCs/>
          <w:shd w:val="clear" w:color="auto" w:fill="FFFFFF"/>
        </w:rPr>
        <w:t xml:space="preserve"> </w:t>
      </w:r>
      <w:r w:rsidRPr="00533776">
        <w:rPr>
          <w:rFonts w:ascii="Times New Roman" w:hAnsi="Times New Roman"/>
          <w:iCs/>
          <w:shd w:val="clear" w:color="auto" w:fill="FFFFFF"/>
        </w:rPr>
        <w:t>1. pielikum</w:t>
      </w:r>
      <w:r w:rsidR="00533776">
        <w:rPr>
          <w:rFonts w:ascii="Times New Roman" w:hAnsi="Times New Roman"/>
          <w:iCs/>
          <w:shd w:val="clear" w:color="auto" w:fill="FFFFFF"/>
        </w:rPr>
        <w: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118" w:rsidRDefault="00152118">
    <w:pPr>
      <w:pStyle w:val="Header"/>
      <w:jc w:val="center"/>
    </w:pPr>
    <w:r>
      <w:fldChar w:fldCharType="begin"/>
    </w:r>
    <w:r>
      <w:instrText xml:space="preserve"> PAGE   \* MERGEFORMAT </w:instrText>
    </w:r>
    <w:r>
      <w:fldChar w:fldCharType="separate"/>
    </w:r>
    <w:r w:rsidR="005F0F70">
      <w:rPr>
        <w:noProof/>
      </w:rPr>
      <w:t>2</w:t>
    </w:r>
    <w:r>
      <w:rPr>
        <w:noProof/>
      </w:rPr>
      <w:fldChar w:fldCharType="end"/>
    </w:r>
  </w:p>
  <w:p w:rsidR="00152118" w:rsidRDefault="00152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4204"/>
    <w:multiLevelType w:val="hybridMultilevel"/>
    <w:tmpl w:val="76A632D8"/>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04B41"/>
    <w:rsid w:val="0001134A"/>
    <w:rsid w:val="0004734F"/>
    <w:rsid w:val="00087BE8"/>
    <w:rsid w:val="000A2E25"/>
    <w:rsid w:val="000B3924"/>
    <w:rsid w:val="00127B20"/>
    <w:rsid w:val="00130D87"/>
    <w:rsid w:val="00145BC1"/>
    <w:rsid w:val="00152118"/>
    <w:rsid w:val="001864CE"/>
    <w:rsid w:val="001F7A2A"/>
    <w:rsid w:val="00273264"/>
    <w:rsid w:val="0027769B"/>
    <w:rsid w:val="002847EF"/>
    <w:rsid w:val="002D1E24"/>
    <w:rsid w:val="002F0536"/>
    <w:rsid w:val="003A1CEF"/>
    <w:rsid w:val="00415571"/>
    <w:rsid w:val="004A4942"/>
    <w:rsid w:val="004C32C4"/>
    <w:rsid w:val="004F6A41"/>
    <w:rsid w:val="005279CA"/>
    <w:rsid w:val="00533776"/>
    <w:rsid w:val="005C0953"/>
    <w:rsid w:val="005C25CE"/>
    <w:rsid w:val="005F0F70"/>
    <w:rsid w:val="005F4BDB"/>
    <w:rsid w:val="006A5113"/>
    <w:rsid w:val="006C1EAC"/>
    <w:rsid w:val="006C66F4"/>
    <w:rsid w:val="00726C31"/>
    <w:rsid w:val="007A243A"/>
    <w:rsid w:val="00843545"/>
    <w:rsid w:val="0086588D"/>
    <w:rsid w:val="0089222D"/>
    <w:rsid w:val="008C3857"/>
    <w:rsid w:val="008D51A5"/>
    <w:rsid w:val="008E72BA"/>
    <w:rsid w:val="00933E59"/>
    <w:rsid w:val="00934562"/>
    <w:rsid w:val="00983A18"/>
    <w:rsid w:val="00995608"/>
    <w:rsid w:val="009A36EB"/>
    <w:rsid w:val="009E7057"/>
    <w:rsid w:val="009F5E24"/>
    <w:rsid w:val="009F70EF"/>
    <w:rsid w:val="00A76949"/>
    <w:rsid w:val="00AA1C72"/>
    <w:rsid w:val="00AE5035"/>
    <w:rsid w:val="00B53051"/>
    <w:rsid w:val="00B70D36"/>
    <w:rsid w:val="00BE6256"/>
    <w:rsid w:val="00C41F33"/>
    <w:rsid w:val="00C51F07"/>
    <w:rsid w:val="00C7149B"/>
    <w:rsid w:val="00CB42AB"/>
    <w:rsid w:val="00D16203"/>
    <w:rsid w:val="00D23480"/>
    <w:rsid w:val="00DF78C8"/>
    <w:rsid w:val="00E14E8F"/>
    <w:rsid w:val="00E5641D"/>
    <w:rsid w:val="00E85815"/>
    <w:rsid w:val="00E91E3D"/>
    <w:rsid w:val="00EA3356"/>
    <w:rsid w:val="00ED3589"/>
    <w:rsid w:val="00FB7849"/>
    <w:rsid w:val="00FE32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72389-94A8-419A-90E7-3CAC81FF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E85815"/>
    <w:rPr>
      <w:sz w:val="16"/>
      <w:szCs w:val="16"/>
    </w:rPr>
  </w:style>
  <w:style w:type="paragraph" w:styleId="CommentText">
    <w:name w:val="annotation text"/>
    <w:basedOn w:val="Normal"/>
    <w:link w:val="CommentTextChar"/>
    <w:uiPriority w:val="99"/>
    <w:rsid w:val="00E85815"/>
    <w:rPr>
      <w:rFonts w:eastAsia="ヒラギノ角ゴ Pro W3"/>
      <w:color w:val="000000"/>
      <w:sz w:val="20"/>
      <w:szCs w:val="20"/>
      <w:lang w:val="x-none" w:eastAsia="x-none"/>
    </w:rPr>
  </w:style>
  <w:style w:type="character" w:customStyle="1" w:styleId="CommentTextChar">
    <w:name w:val="Comment Text Char"/>
    <w:link w:val="CommentText"/>
    <w:uiPriority w:val="99"/>
    <w:rsid w:val="00E85815"/>
    <w:rPr>
      <w:rFonts w:ascii="Calibri" w:eastAsia="ヒラギノ角ゴ Pro W3" w:hAnsi="Calibri" w:cs="Times New Roman"/>
      <w:color w:val="000000"/>
      <w:sz w:val="20"/>
      <w:szCs w:val="20"/>
    </w:rPr>
  </w:style>
  <w:style w:type="paragraph" w:styleId="NoSpacing">
    <w:name w:val="No Spacing"/>
    <w:uiPriority w:val="1"/>
    <w:qFormat/>
    <w:rsid w:val="00E85815"/>
    <w:rPr>
      <w:rFonts w:eastAsia="ヒラギノ角ゴ Pro W3"/>
      <w:color w:val="000000"/>
      <w:sz w:val="22"/>
      <w:szCs w:val="24"/>
      <w:lang w:eastAsia="en-US"/>
    </w:rPr>
  </w:style>
  <w:style w:type="paragraph" w:styleId="BalloonText">
    <w:name w:val="Balloon Text"/>
    <w:basedOn w:val="Normal"/>
    <w:link w:val="BalloonTextChar"/>
    <w:uiPriority w:val="99"/>
    <w:semiHidden/>
    <w:unhideWhenUsed/>
    <w:rsid w:val="00E8581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85815"/>
    <w:rPr>
      <w:rFonts w:ascii="Tahoma" w:hAnsi="Tahoma" w:cs="Tahoma"/>
      <w:sz w:val="16"/>
      <w:szCs w:val="16"/>
    </w:rPr>
  </w:style>
  <w:style w:type="paragraph" w:styleId="ListParagraph">
    <w:name w:val="List Paragraph"/>
    <w:aliases w:val="H&amp;P List Paragraph,2,Strip,Normal bullet 2,Bullet list,List Paragraph1,Saraksta rindkopa1,List Paragraph11"/>
    <w:basedOn w:val="Normal"/>
    <w:link w:val="ListParagraphChar"/>
    <w:uiPriority w:val="34"/>
    <w:qFormat/>
    <w:rsid w:val="005C0953"/>
    <w:pPr>
      <w:ind w:left="720"/>
      <w:contextualSpacing/>
    </w:pPr>
    <w:rPr>
      <w:lang w:val="x-none"/>
    </w:rPr>
  </w:style>
  <w:style w:type="character" w:styleId="Hyperlink">
    <w:name w:val="Hyperlink"/>
    <w:uiPriority w:val="99"/>
    <w:unhideWhenUsed/>
    <w:rsid w:val="00E91E3D"/>
    <w:rPr>
      <w:color w:val="0000FF"/>
      <w:u w:val="single"/>
    </w:rPr>
  </w:style>
  <w:style w:type="paragraph" w:styleId="Header">
    <w:name w:val="header"/>
    <w:basedOn w:val="Normal"/>
    <w:link w:val="HeaderChar"/>
    <w:uiPriority w:val="99"/>
    <w:unhideWhenUsed/>
    <w:rsid w:val="001521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2118"/>
  </w:style>
  <w:style w:type="paragraph" w:styleId="Footer">
    <w:name w:val="footer"/>
    <w:basedOn w:val="Normal"/>
    <w:link w:val="FooterChar"/>
    <w:uiPriority w:val="99"/>
    <w:unhideWhenUsed/>
    <w:rsid w:val="001521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2118"/>
  </w:style>
  <w:style w:type="paragraph" w:styleId="EndnoteText">
    <w:name w:val="endnote text"/>
    <w:basedOn w:val="Normal"/>
    <w:link w:val="EndnoteTextChar"/>
    <w:uiPriority w:val="99"/>
    <w:semiHidden/>
    <w:unhideWhenUsed/>
    <w:rsid w:val="00B70D36"/>
    <w:pPr>
      <w:widowControl w:val="0"/>
      <w:autoSpaceDE w:val="0"/>
      <w:autoSpaceDN w:val="0"/>
      <w:adjustRightInd w:val="0"/>
      <w:spacing w:after="0" w:line="240" w:lineRule="auto"/>
    </w:pPr>
    <w:rPr>
      <w:rFonts w:ascii="Times New Roman" w:eastAsia="Times New Roman" w:hAnsi="Times New Roman"/>
      <w:sz w:val="20"/>
      <w:szCs w:val="20"/>
      <w:lang w:val="x-none" w:eastAsia="lv-LV"/>
    </w:rPr>
  </w:style>
  <w:style w:type="character" w:customStyle="1" w:styleId="EndnoteTextChar">
    <w:name w:val="Endnote Text Char"/>
    <w:link w:val="EndnoteText"/>
    <w:uiPriority w:val="99"/>
    <w:semiHidden/>
    <w:rsid w:val="00B70D36"/>
    <w:rPr>
      <w:rFonts w:ascii="Times New Roman" w:eastAsia="Times New Roman" w:hAnsi="Times New Roman" w:cs="Times New Roman"/>
      <w:sz w:val="20"/>
      <w:szCs w:val="20"/>
      <w:lang w:eastAsia="lv-LV"/>
    </w:rPr>
  </w:style>
  <w:style w:type="character" w:styleId="EndnoteReference">
    <w:name w:val="endnote reference"/>
    <w:uiPriority w:val="99"/>
    <w:semiHidden/>
    <w:unhideWhenUsed/>
    <w:rsid w:val="00B70D36"/>
    <w:rPr>
      <w:vertAlign w:val="superscript"/>
    </w:rPr>
  </w:style>
  <w:style w:type="paragraph" w:styleId="FootnoteText">
    <w:name w:val="footnote text"/>
    <w:basedOn w:val="Normal"/>
    <w:link w:val="FootnoteTextChar"/>
    <w:uiPriority w:val="99"/>
    <w:semiHidden/>
    <w:unhideWhenUsed/>
    <w:rsid w:val="00415571"/>
    <w:rPr>
      <w:sz w:val="20"/>
      <w:szCs w:val="20"/>
      <w:lang w:val="x-none"/>
    </w:rPr>
  </w:style>
  <w:style w:type="character" w:customStyle="1" w:styleId="FootnoteTextChar">
    <w:name w:val="Footnote Text Char"/>
    <w:link w:val="FootnoteText"/>
    <w:uiPriority w:val="99"/>
    <w:semiHidden/>
    <w:rsid w:val="00415571"/>
    <w:rPr>
      <w:lang w:eastAsia="en-US"/>
    </w:rPr>
  </w:style>
  <w:style w:type="character" w:styleId="FootnoteReference">
    <w:name w:val="footnote reference"/>
    <w:uiPriority w:val="99"/>
    <w:semiHidden/>
    <w:unhideWhenUsed/>
    <w:rsid w:val="00415571"/>
    <w:rPr>
      <w:vertAlign w:val="superscript"/>
    </w:rPr>
  </w:style>
  <w:style w:type="paragraph" w:styleId="Revision">
    <w:name w:val="Revision"/>
    <w:hidden/>
    <w:uiPriority w:val="99"/>
    <w:semiHidden/>
    <w:rsid w:val="003A1CEF"/>
    <w:rPr>
      <w:sz w:val="22"/>
      <w:szCs w:val="22"/>
      <w:lang w:eastAsia="en-US"/>
    </w:rPr>
  </w:style>
  <w:style w:type="paragraph" w:styleId="CommentSubject">
    <w:name w:val="annotation subject"/>
    <w:basedOn w:val="CommentText"/>
    <w:next w:val="CommentText"/>
    <w:link w:val="CommentSubjectChar"/>
    <w:uiPriority w:val="99"/>
    <w:semiHidden/>
    <w:unhideWhenUsed/>
    <w:rsid w:val="00A76949"/>
    <w:rPr>
      <w:b/>
      <w:bCs/>
    </w:rPr>
  </w:style>
  <w:style w:type="character" w:customStyle="1" w:styleId="CommentSubjectChar">
    <w:name w:val="Comment Subject Char"/>
    <w:link w:val="CommentSubject"/>
    <w:uiPriority w:val="99"/>
    <w:semiHidden/>
    <w:rsid w:val="00A76949"/>
    <w:rPr>
      <w:rFonts w:ascii="Calibri" w:eastAsia="ヒラギノ角ゴ Pro W3" w:hAnsi="Calibri" w:cs="Times New Roman"/>
      <w:b/>
      <w:bCs/>
      <w:color w:val="000000"/>
      <w:sz w:val="20"/>
      <w:szCs w:val="20"/>
      <w:lang w:eastAsia="en-US"/>
    </w:rPr>
  </w:style>
  <w:style w:type="character" w:customStyle="1" w:styleId="ListParagraphChar">
    <w:name w:val="List Paragraph Char"/>
    <w:aliases w:val="H&amp;P List Paragraph Char,2 Char,Strip Char,Normal bullet 2 Char,Bullet list Char,List Paragraph1 Char,Saraksta rindkopa1 Char,List Paragraph11 Char"/>
    <w:link w:val="ListParagraph"/>
    <w:uiPriority w:val="34"/>
    <w:qFormat/>
    <w:locked/>
    <w:rsid w:val="00A7694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PDF/?uri=CELEX:32014R0651&amp;from=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eli/reg/2014/651/oj/?locale=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eli/reg/2013/1303/oj/?locale=LV" TargetMode="External"/><Relationship Id="rId1" Type="http://schemas.openxmlformats.org/officeDocument/2006/relationships/hyperlink" Target="http://eur-lex.europa.eu/eli/reg/2014/480/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4C0C33B-3BAA-45DC-8C91-1C7DCA66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3022</Words>
  <Characters>1723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Links>
    <vt:vector size="24" baseType="variant">
      <vt:variant>
        <vt:i4>6881343</vt:i4>
      </vt:variant>
      <vt:variant>
        <vt:i4>3</vt:i4>
      </vt:variant>
      <vt:variant>
        <vt:i4>0</vt:i4>
      </vt:variant>
      <vt:variant>
        <vt:i4>5</vt:i4>
      </vt:variant>
      <vt:variant>
        <vt:lpwstr>http://eur-lex.europa.eu/eli/reg/2014/651/oj/?locale=LV</vt:lpwstr>
      </vt:variant>
      <vt:variant>
        <vt:lpwstr/>
      </vt:variant>
      <vt:variant>
        <vt:i4>3932208</vt:i4>
      </vt:variant>
      <vt:variant>
        <vt:i4>0</vt:i4>
      </vt:variant>
      <vt:variant>
        <vt:i4>0</vt:i4>
      </vt:variant>
      <vt:variant>
        <vt:i4>5</vt:i4>
      </vt:variant>
      <vt:variant>
        <vt:lpwstr>http://eur-lex.europa.eu/legal-content/LV/TXT/PDF/?uri=CELEX:32014R0651&amp;from=LV</vt:lpwstr>
      </vt:variant>
      <vt:variant>
        <vt:lpwstr/>
      </vt:variant>
      <vt:variant>
        <vt:i4>4784221</vt:i4>
      </vt:variant>
      <vt:variant>
        <vt:i4>3</vt:i4>
      </vt:variant>
      <vt:variant>
        <vt:i4>0</vt:i4>
      </vt:variant>
      <vt:variant>
        <vt:i4>5</vt:i4>
      </vt:variant>
      <vt:variant>
        <vt:lpwstr>http://eur-lex.europa.eu/eli/reg/2013/1303/oj/?locale=LV</vt:lpwstr>
      </vt:variant>
      <vt:variant>
        <vt:lpwstr/>
      </vt:variant>
      <vt:variant>
        <vt:i4>6553660</vt:i4>
      </vt:variant>
      <vt:variant>
        <vt:i4>0</vt:i4>
      </vt:variant>
      <vt:variant>
        <vt:i4>0</vt:i4>
      </vt:variant>
      <vt:variant>
        <vt:i4>5</vt:i4>
      </vt:variant>
      <vt:variant>
        <vt:lpwstr>http://eur-lex.europa.eu/eli/reg/2014/480/oj/?locale=LV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Astra Varika</cp:lastModifiedBy>
  <cp:revision>5</cp:revision>
  <cp:lastPrinted>2016-06-13T12:15:00Z</cp:lastPrinted>
  <dcterms:created xsi:type="dcterms:W3CDTF">2018-08-01T10:04:00Z</dcterms:created>
  <dcterms:modified xsi:type="dcterms:W3CDTF">2018-08-01T11:47:00Z</dcterms:modified>
</cp:coreProperties>
</file>